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1B_369/2019 vom 27. November 2019</w:t>
      </w:r>
    </w:p>
    <w:p>
      <w:r>
        <w:t>Bundesgericht, 2019-11-27, DE</w:t>
      </w:r>
    </w:p>
    <w:p>
      <w:r>
        <w:rPr>
          <w:b/>
        </w:rPr>
        <w:t xml:space="preserve">Quelle: </w:t>
      </w:r>
      <w:r>
        <w:t>https://mcp.opencaselaw.ch/entscheid/bger_1B_369_2019</w:t>
      </w:r>
    </w:p>
    <w:p>
      <w:r>
        <w:t>FR: TF 1B_369/2019 du 27 novembre 2019</w:t>
      </w:r>
    </w:p>
    <w:p>
      <w:r>
        <w:t>IT: TF 1B_369/2019 del 27 novembre 2019</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Der Beschwerdeführer macht geltend, Oberrichter Frey habe am angefochtenen Entscheid mitgewirkt, obwohl er hätte in den Ausstand treten müssen. Zur Begründung führt er an, in einem anderen, im Rahmen der "Aktion Dreieck" separat geführten Strafverfahren werde der Beschuldigte E.________ durch Rechtsanwalt Thomas Fürst verteidigt. Dieser sei in der Bürogemeinschaft Stampfli Rechtsanwälte tätig, der auch die Tochter von Oberrichter Frey, Rechtsanwältin Isabelle Frey, angehöre, weshalb er befangen erscheine. Die Einvernahme von E.________ vom 13. August 2019 sei im Haftanordnungsverfahren gegen ihn verwendet worden.</w:t>
      </w:r>
    </w:p>
    <w:p>
      <w:r>
        <w:t>Der Ausstandsvorwurf verfängt schon deshalb nicht, weil er nicht das Strafverfahren gegen den Beschwerdeführer, sondern dasjenige gegen E.________ betrifft. In diesem Verfahren wäre es zudem Sache der Gegenpartei von E.________ - der Staatsanwaltschaft - gewesen, ein allfälliges Ablehnungsgesuch gegen Oberrichter Frey zu stellen, wenn sie Bedenken an dessen Unparteilichkeit gehabt hätte.</w:t>
      </w:r>
    </w:p>
    <w:p>
      <w:r>
        <w:t>Im Übrigen fand das Haftanordnungsverfahren Mitte August 2019 statt, und der Beschwerdeführer macht nicht geltend, dass er (bzw. seine Anwältin) nicht bereits damals wusste, dass die Büropartnerin von Rechtsanwalt Fürst die Tochter von Beat Frey ist und dieser in seiner Eigenschaft als Mitglied der Beschwerdekammer voraussichtlich an einem Beschwerdeverfahren mitwirken würde. Der Beschwerdeführer hätte somit bereits mit der Einreichung der Beschwerde ans Obergericht vom 15. Oktober 2019 dessen Ausstand verlangen müssen, die Erhebung dieser Rüge erst vor Bundesgericht wäre daher ohnehin verspätet.</w:t>
      </w:r>
    </w:p>
    <w:p>
      <w:r>
        <w:rPr>
          <w:b/>
        </w:rPr>
        <w:t>E. 3</w:t>
      </w:r>
    </w:p>
    <w:p>
      <w:r>
        <w:t>Untersuchungshaft kann unter anderem angeordnet werden, wenn ein dringender Tatverdacht in Bezug auf ein Verbrechen oder Vergehen sowie Kollusionsgefahr besteht ( Art. 221 Abs. 1 StPO ). Das Obergericht hat nebst dem allgemeinen Haftgrund des dringenden Tatverdachts Kollusionsgefahr als besonderen Haftgrund bejaht.</w:t>
      </w:r>
    </w:p>
    <w:p>
      <w:r>
        <w:rPr>
          <w:b/>
        </w:rPr>
        <w:t>E. 3.1</w:t>
      </w:r>
    </w:p>
    <w:p>
      <w:r>
        <w:t>Der Beschwerdeführer ist geständig, die Diebesbeute von über 4.5 Mio Franken transportiert und weitergegeben zu haben. Er ist damit ohne Weiteres dringend verdächtig, sich der Hehlerei und eventuell der Geldwäscherei schuldig gemacht zu haben. Hehlerei ist ein Verbrechen (Art. 160 i.V.m. Art. 10 Abs. 2 StGB ), Geldwäscherei ein Vergehen (Art. 305bis i.V.m. Art. 10 Abs. 3 StGB ), womit der allgemeine Haftgrund erfüllt ist.</w:t>
      </w:r>
    </w:p>
    <w:p>
      <w:r>
        <w:rPr>
          <w:b/>
        </w:rPr>
        <w:t>E. 3.2</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t>Das Obergericht hat Kollusionsgefahr bejaht, weil die Ermittlungen in Bezug auf die Diebesbeute auf Hochtouren liefen und es von entscheidender Bedeutung sei, diese nicht durch allfällige Kollusionshandlungen zu beeinträchtigen. Daran ändere der Umstand nichts, dass F.________, dem der Beschwerdeführer und G.________ die Beute mutmasslich übergaben, in Tschechien in Haft sei, da über dessen Auslieferung an die Schweiz noch nicht definitiv entschieden sei. Diese Ausführungen sind nicht zu beanstanden. Bei einem Diebstahl wie dem vorliegenden mit einer sehr hohen Deliktssumme, vielen Beteiligten und ausländischem Bezug, wie die Verhaftung von F.________ in Tschechien zeigt, dürfen jedenfalls in einem relativ frühen Stadium der Untersuchung keine überspitzten Anforderungen an die Kollusionsgefahr gestellt werden. Es muss genügen, dass der Beschwerdeführer sich in Freiheit mit weiteren, möglicherweise noch unbekannten Beteiligten absprechen könnte, um beispielsweise das Auffinden der Beute zu erschweren oder seine allenfalls weitergehende Beteiligung an der Tat zu verwischen.</w:t>
      </w:r>
    </w:p>
    <w:p>
      <w:r>
        <w:rPr>
          <w:b/>
        </w:rPr>
        <w:t>E. 3.3</w:t>
      </w:r>
    </w:p>
    <w:p>
      <w:r>
        <w:t>Offensichtlich nicht zu beanstanden ist die Fortführung der Haft unter dem Gesichtspunkt der Verhältnismässigkeit. Die erstandene Haft von rund drei Monaten kommt bei weitem noch nicht in die Nähe der für den Fall einer Verurteilung zu erwartenden Strafe, und es gibt keinerlei Hinweise darauf, dass das Strafverfahren nicht mit der gebotenen Beschleunigung geführt würde. Mildere Ersatzmassnahmen, die geeignet wären, die Kollusionsgefahr zu bannen, sind weder dargetan noch ersichtlich.</w:t>
      </w:r>
    </w:p>
    <w:p>
      <w:r>
        <w:rPr>
          <w:b/>
        </w:rPr>
        <w:t>E. 4</w:t>
      </w:r>
    </w:p>
    <w:p>
      <w:r>
        <w:t>Die Beschwerde ist somit abzuweisen, soweit darauf einzutreten ist.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