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1B_368/2020 vom 28. Oktober 2020</w:t>
      </w:r>
    </w:p>
    <w:p>
      <w:r>
        <w:t>Bundesgericht, 2020-10-28, DE</w:t>
      </w:r>
    </w:p>
    <w:p>
      <w:r>
        <w:rPr>
          <w:b/>
        </w:rPr>
        <w:t xml:space="preserve">Quelle: </w:t>
      </w:r>
      <w:r>
        <w:t>https://mcp.opencaselaw.ch/entscheid/bger_1B_368_2020</w:t>
      </w:r>
    </w:p>
    <w:p>
      <w:r>
        <w:t>FR: TF 1B_368/2020 du 28 octobre 2020</w:t>
      </w:r>
    </w:p>
    <w:p>
      <w:r>
        <w:t>IT: TF 1B_368/2020 del 28 ottobre 2020</w:t>
      </w:r>
    </w:p>
    <w:p>
      <w:pPr>
        <w:pStyle w:val="Heading2"/>
      </w:pPr>
      <w:r>
        <w:t>Erwägungen</w:t>
      </w:r>
    </w:p>
    <w:p>
      <w:r>
        <w:rPr>
          <w:b/>
        </w:rPr>
        <w:t>E. 1</w:t>
      </w:r>
    </w:p>
    <w:p>
      <w:r>
        <w:t>Mit Verfügung "BK 20 149 KUE" vom 29. Juni 2020 nahm der Präsident der Beschwerdekammer des Berner Obergerichts von der Beschwerde von A.________ gegen die Verfügung der Beschwerdekammer "BK 20 149 MOR" vom 10. Juni 2020 Kenntnis (Dispositiv-Ziff. 1) und stellte fest, dass Beschwerden gegen Verfügungen der Beschwerdekammer beim Bundesgericht einzureichen seien, er indessen auf eine Weiterleitung der Beschwerde gegen die Verfügung "BK 20 149 MOR" ans Bundesgericht verzichte, womit diese ihre Geltung behalte (Dispositiv-Ziff. 2). Er nahm weiter vom Ausstandsgesuch gegen Staatsanwältin Wollmann Kenntnis (Dispositiv-Ziff. 3), erfasste das Ausstandsverfahren unter der Nummer BK 20 261, vereinigte es mit dem Verfahren BK 20 149 (Dispositiv-Ziff. 4) und setzte Staatsanwältin Wollmann Frist zur Stellungnahme (Dispositiv-Ziff. 5). Zur Begründung von Dispositiv-Ziff. 2 führte der Präsident an, A.________ sei aus früheren Verfahren bestens bekannt, dass er Verfügungen der Beschwerdekammer beim Bundesgericht anfechten müsse.</w:t>
      </w:r>
    </w:p>
    <w:p>
      <w:r>
        <w:t>Mit Eingabe vom 16. Juli 2020 erhebt A.________ Beschwerde gegen die Verfügung "BK 20 149 KUE".</w:t>
      </w:r>
    </w:p>
    <w:p>
      <w:r>
        <w:t>Vernehmlassungen wurden keine eingeholt.</w:t>
      </w:r>
    </w:p>
    <w:p>
      <w:r>
        <w:rPr>
          <w:b/>
        </w:rPr>
        <w:t>E. 2</w:t>
      </w:r>
    </w:p>
    <w:p>
      <w:r>
        <w:t>Angefochten ist eine kantonal letztinstanzliche Verfügung, mit welcher der Präsident der Beschwerdekammer in Strafsachen verschiedene verfahrensleitende Anordnungen getroffen hat; dagegen ist die Beschwerde in Strafsachen zulässig ( Art. 78 Abs. 1, Art. 80 BGG ). Sie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w:t>
      </w:r>
    </w:p>
    <w:p>
      <w:r>
        <w:t>Der Beschwerdeführer setzt sich mit dem angefochtenen Entscheid nicht bzw. jedenfalls nicht sachgerecht auseinander und legt weder dar, inwiefern ihm durch ihn ein nicht wiedergutzumachender Nachteil droht, noch inwiefern er Bundesrecht verletzt. Soweit verständlich, beklagt er sich über die seiner Auffassung nach gegen ihn gerichteten kriminellen Aktivitäten der Gegenpartei des Strafverfahrens, beanstandet die Verfahrensführung von Staatsanwältin Wollmann und wirft dem Obergericht "Betrug" vor, da es von ihm regelmässig Kostenvorschüsse verlange. All dies war indessen nicht Gegenstand des angefochtenen Entscheids, die Beschwerde geht völlig an der Sache vorbei, weshalb darauf wegen Verletzung der Begründungspflicht im vereinfachten Verfahren nicht einzutreten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