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1B_368/2012 vom 13. Mai 2013</w:t>
      </w:r>
    </w:p>
    <w:p>
      <w:r>
        <w:t>Bundesgericht, 2013-05-13, FR</w:t>
      </w:r>
    </w:p>
    <w:p>
      <w:r>
        <w:rPr>
          <w:b/>
        </w:rPr>
        <w:t xml:space="preserve">Quelle: </w:t>
      </w:r>
      <w:r>
        <w:t>https://mcp.opencaselaw.ch/entscheid/bger_1B_368_2012</w:t>
      </w:r>
    </w:p>
    <w:p>
      <w:r>
        <w:t>FR: TF 1B_368/2012 du 13 mai 2013</w:t>
      </w:r>
    </w:p>
    <w:p>
      <w:r>
        <w:t>IT: TF 1B_368/2012 del 13 maggio 2013</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non-entrée en matière, l'arrêt attaqué a un caractère final ( art. 90 LTF ) et émane de l'autorité cantonale de dernière instance ( art. 80 LTF ). Le recourant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w:t>
      </w:r>
    </w:p>
    <w:p>
      <w:r>
        <w:rPr>
          <w:b/>
        </w:rPr>
        <w:t>E. 1.2.1</w:t>
      </w:r>
    </w:p>
    <w:p>
      <w:r>
        <w:t>Lorsque, comme en l'espèce, le recours est dirigé contre une décision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 Cette exigence vaut particulièrement lorsque la partie plaignante, invoquant une atteinte au droit de la personnalité au sens de l' art. 28 CC , pourrait obtenir une indemnité pour tort moral fondée sur l' art. 49 al. 1 CO .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 ATF 130 III 699 consid. 5.1 p. 704; 125 III 70 consid. 3a p. 75). L'allocation d'une indemnité pour tort moral fondée sur l' art. 49 al. 1 CO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arrêts 1B_312/2011 du 21 juin 2011; 1B_119/2011 du 20 avril 2011 consid. 1.2.3 et les arrêts cités).</w:t>
      </w:r>
    </w:p>
    <w:p>
      <w:r>
        <w:rPr>
          <w:b/>
        </w:rPr>
        <w:t>E. 1.2.2</w:t>
      </w:r>
    </w:p>
    <w:p>
      <w:r>
        <w:t>En l'occurrence, le recourant a déclaré, dans sa plainte avec constitution de partie plaignante, qu'il réclamait aux deux personnes mises en cause le versement de 10'000 fr. à titre de réparation du tort moral. S'il chiffre ainsi ses prétentions, il n'explique pas en revanche que le préjudice moral qu'il prétend avoir subi présenterait une importance suffisante pour justifier une telle indemnisation. En effet, il ressort du dossier que les termes de "traître à la patrie" ont été utilisés plusieurs fois à son encontre, une première fois dans Le Matin du 27 août 2009, sans susciter de réaction, puis lors de l'émission du 20 mars 2011 où ces propos, tenus par le Conseiller d'Etat, ont fait l'objet d'une plainte à l'AIEP mais d'aucune démarche d'ordre civil ou pénal. Enfin, usant de son droit de réponse dans Le Matin du 26 octobre 2011, le recourant a précisé: "Je ne goûte guère le grief, mais comme il émane d'un type qui a tout raté dans sa vie ..., je ne m'en offusque pas outre mesure". Compte tenu de ces réactions et déclarations, il est peu probable que les mêmes termes, répétés dans l'article du 18 octobre 2011, aient provoqué une souffrance morale suffisamment forte pour justifier une indemnisation. La recevabilité du recours - s'agissant des griefs de fond - apparaît ainsi douteuse. La question peut toutefois demeurer indécise car le recours doit de toute façon être rejeté.</w:t>
      </w:r>
    </w:p>
    <w:p>
      <w:r>
        <w:rPr>
          <w:b/>
        </w:rPr>
        <w:t>E. 2</w:t>
      </w:r>
    </w:p>
    <w:p>
      <w:r>
        <w:t>Invoquant son droit d'être entendu ( art. 29 al. 2 Cst. et 107 CPP), le recourant reproche à la cour cantonale d'avoir fondé son raisonnement sur l'existence d'un article du Matin du 27 août 2009 afin de relativiser la portée des propos tenus ultérieurement par le Conseiller d'Etat. Le recourant relève que cette pièce ne figure au dossier que sous la forme d'une référence dans la décision de l'AIEP.</w:t>
      </w:r>
    </w:p>
    <w:p>
      <w:r>
        <w:rPr>
          <w:b/>
        </w:rPr>
        <w:t>E. 2.1</w:t>
      </w:r>
    </w:p>
    <w:p>
      <w:r>
        <w:t>Le droit d'être entendu, tel qu'il est garanti par l' art. 29 al. 2 Cst. et, en procédure pénale, à l' art. 107 CPP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w:t>
      </w:r>
    </w:p>
    <w:p>
      <w:r>
        <w:rPr>
          <w:b/>
        </w:rPr>
        <w:t>E. 2.2</w:t>
      </w:r>
    </w:p>
    <w:p>
      <w:r>
        <w:t>En l'occurrence, la cour cantonale a tenu pour établi que le recourant avait été qualifié de traître à la nation une première fois dans un article du Matin du 27 août 2009, sans réaction de sa part. L'arrêt attaqué ne tire toutefois aucune conséquence juridique de ce simple fait. Il relativise certes les propos tenus par le Conseiller d'Etat en considérant que la formule litigieuse avait déjà "notoirement" trouvé écho dans l'opinion publique, mais c'est ce dernier élément - non contesté par le recourant - qui fonde une partie du raisonnement de la cour cantonale. Or, en tant que fait notoire, celui-ci n'avait pas à reposer sur un élément particulier du dossier pénal. En outre, comme le relève le recourant, sa plainte concerne exclusivement les propos publiés le 18 octobre 2011, qui devraient être considérés pour eux-mêmes, sans référence à l'article publié précédemment. Pour sa part, l'arrêt attaqué prend en compte, d'une part, les réactions du recourant aux déclarations du Conseiller d'Etat et, d'autre part, les relations personnelles tendues entre les deux protagonistes. Dans ces conditions, l'existence d'un article de presse paru plus de deux ans auparavant, apparaissait dénuée de pertinence. L'absence de cette pièce au dossier ne viole dès lors pas le droit d'être entendu.</w:t>
      </w:r>
    </w:p>
    <w:p>
      <w:r>
        <w:rPr>
          <w:b/>
        </w:rPr>
        <w:t>E. 3</w:t>
      </w:r>
    </w:p>
    <w:p>
      <w:r>
        <w:t>Le recourant relève qu'à teneur de l' art. 310 al. 1 CPP , une ordonnance de non-entrée en matière doit être rendue immédiatement. Ce dernier terme ne se limiterait pas à un simple rappel du principe de célérité (qui figure déjà à l' art. 5 CPP ), mais signifierait qu'aucun acte d'instruction ne peut être entrepris avant le prononcé d'une telle décision. La cour cantonale ne pouvait considérer que les observations demandées aux deux personnes mises en cause équivalaient à une audition par la police, car une telle audition serait elle aussi exclue tant qu'une instruction n'a pas été ouverte. L' art. 309 al. 2 CPP ne permettrait que de simples vérifications limitées, en cas d'atteinte à l'honneur, à la teneur des propos litigieux. En l'occurrence, ces propos étaient d'ores et déjà établis. Ayant procédé à des actes d'instruction supplémentaires au sens des art. 299 al. 2 et 311 al. 1 CPP, le Ministère public ne pouvait plus refuser d'entrer en matière.</w:t>
      </w:r>
    </w:p>
    <w:p>
      <w:r>
        <w:rPr>
          <w:b/>
        </w:rPr>
        <w:t>E. 3.1</w:t>
      </w:r>
    </w:p>
    <w:p>
      <w:r>
        <w:t>Selon l' art. 309 CPP ,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w:t>
      </w:r>
    </w:p>
    <w:p>
      <w:r>
        <w:t>Une ordonnance de non-entrée en matière, au sens de l' art. 310 CPP ,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Le ministère public ne peut donc pas rendre une telle ordonnance après avoir ouvert une instruction au sens de l' art. 309 CPP (CORNU, Commentaire romand CPP, n° 2 ad art. 310).</w:t>
      </w:r>
    </w:p>
    <w:p>
      <w:r>
        <w:rPr>
          <w:b/>
        </w:rPr>
        <w:t>E. 3.2</w:t>
      </w:r>
    </w:p>
    <w:p>
      <w:r>
        <w:t>Contrairement à ce que soutient le recourant,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(arrêt 1B_67/2012 du 29 mai 2012; CORNU, op. cit. n° 20 ad art. 309).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Il ne peut en revanche ordonner des mesures de contrainte sans ouvrir une instruction ( art. 309 al. 1 let. b CPP ).</w:t>
      </w:r>
    </w:p>
    <w:p>
      <w:r>
        <w:rPr>
          <w:b/>
        </w:rPr>
        <w:t>E. 3.3</w:t>
      </w:r>
    </w:p>
    <w:p>
      <w:r>
        <w:t>En l'espèce, aucune décision formelle d'ouverture d'une instruction n'a été prise par le Ministère public avec la mention des prévenus et des infractions qui leur sont imputées, comme le prévoit l' art. 309 al. 3 CPP . Après réception de la plainte du 12 janvier 2012, complétée le 10 février 2012, Le Procureur s'est contenté d'inviter le journaliste et le Conseiller d'Etat, le 16 février suivant, à présenter leurs "observations détaillées" dans un délai d'un mois. Cette invitation, expressément prévue à l' art. 145 CPP , ne saurait en l'occurrence être assimilée à une mesure de contrainte: les intéressés n'étaient pas obligés de déposer (THORMANN, Commentaire romand CPP, n° 5 ad. art. 145) et le Procureur n'a pas indiqué qu'à défaut de réponse, un mandat de comparution ( art. 201 CPP ) serait décerné. Les intéressés n'ont pas non plus été rendus attentifs à leur droits, comme l'exige l' art. 143 al. 1 CPP en cas d'audition. Le dépôt d'observations ne peut, dans ces circonstances, être assimilé à une audition au sens des art. 142, 157 ou 178 CPP .</w:t>
      </w:r>
    </w:p>
    <w:p>
      <w:r>
        <w:t>La cour cantonale pouvait dès lors considérer que la procédure n'avait pas dépassé le stade des premières investigations, ce qui permettait au Ministère public de rendre une ordonnance de non-entrée en matière. Le grief doit être écarté. Il en va de même du grief relatif à l' art. 318 CPP (droit du plaignant de présenter des réquisitions), cette disposition ne s'appliquant qu'à l'issue d'une instruction proprement dite.</w:t>
      </w:r>
    </w:p>
    <w:p>
      <w:r>
        <w:rPr>
          <w:b/>
        </w:rPr>
        <w:t>E. 4</w:t>
      </w:r>
    </w:p>
    <w:p>
      <w:r>
        <w:t>Invoquant les art. 310 al. 1 CPP et 173 CP, le recourant conteste la décision de non-entrée en matière. Il relève qu'une telle décision ne peut être prise qu'en cas de situation claire, en fait et en droit. L'accusation de traîtrise serait objectivement propre à faire apparaître comme méprisable la personne visée, comme l'a reconnu l'AIEP dans sa décision. Les propos publiés le 18 octobre 2011 devaient être considérés pour eux-mêmes, sans référence à l'article paru deux ans auparavant. L'absence de réaction du recourant durant une certaine période, de même que son activité de polémiste, n'enlèveraient rien au caractère attentatoire à l'honneur des propos incriminés.</w:t>
      </w:r>
    </w:p>
    <w:p>
      <w:r>
        <w:rPr>
          <w:b/>
        </w:rPr>
        <w:t>E. 4.1</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4.2</w:t>
      </w:r>
    </w:p>
    <w:p>
      <w:r>
        <w:t>Pour apprécier si une déclaration est attentatoire à l'honneur et donc constitutive d'une diffamation au sens de l' art. 173 CP , il faut se fonder non pas sur le sens que lui donne la personne visée, mais sur une interprétation objective selon la signification qu'un destinataire non prévenu doit, dans les circonstances d'espèce, lui attribuer ( ATF 133 IV 308 consid. 8.5.1 p. 312). Selon la jurisprudence, un texte doit être analysé non seulement en fonction des expressions utilisées, prises séparément, mais aussi selon le sens général qui se dégage du texte dans son ensemble. Dans la discussion politique, l'atteinte à l'honneur punissable ne doit être admise qu'avec retenue et, en cas de doute, niée. La liberté d'expression indispensable à la démocratie implique en effet que les acteurs de la lutte politique acceptent de s'exposer à une critique publique, parfois même violente, de leurs opinions. Il ne suffit ainsi pas d'abaisser une personne dans les qualités politiques qu'elle croit avoir ( ATF 137 IV 313 consid. 2.1.4 p. 316).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 ATF 137 IV 313 consid. 2.1.4 p. 316 s.; 128 IV 53 consid. 1a p. 58 s.; également ATF 131 IV 23 consid. 2.1 p. 26).</w:t>
      </w:r>
    </w:p>
    <w:p>
      <w:r>
        <w:rPr>
          <w:b/>
        </w:rPr>
        <w:t>E. 4.3</w:t>
      </w:r>
    </w:p>
    <w:p>
      <w:r>
        <w:t>Les considérations qui précèdent doivent s'appliquer également lorsque la personne faisant l'objet des déclarations litigieuses, sans être visée en tant que politicien, se livre régulièrement et publiquement à des critiques acerbes dans les médias. Personnalité connue pour son humour caustique, le recourant est avocat et ancien Conseiller national; il s'exprime régulièrement et publiquement par le biais d'interviews, de chroniques ou de pamphlets. Polémiste notoire et défenseur convaincu de la liberté d'expression, le recourant s'expose naturellement à la critique publique, et doit s'attendre à des réactions en des termes plus acerbes que n'importe quel citoyen. Dans ces circonstances, une atteinte à l'honneur punissable ne doit être admise qu'avec retenue et, en cas de doute, niée ( ATF 137 IV 313 consid. 2.1.4).</w:t>
      </w:r>
    </w:p>
    <w:p>
      <w:r>
        <w:rPr>
          <w:b/>
        </w:rPr>
        <w:t>E. 4.4</w:t>
      </w:r>
    </w:p>
    <w:p>
      <w:r>
        <w:t>Si, comme l'a retenu le Procureur, l'expression "traître à la patrie" aurait perdu de son intensité durant les dernières décennies et aurait été employée récemment en politique sans susciter de réaction particulière, l'utilisation du terme "traître" peut néanmoins toujours constituer une atteinte à l'honneur, pour autant qu'elle consiste en une allégation portant sur des faits concrets ( ATF 118 IV 153 concernant l'accusation d'avoir préparé un putsch; 103 IV 161 concernant l'accusation d'agir à l'encontre des intérêts public).</w:t>
      </w:r>
    </w:p>
    <w:p>
      <w:r>
        <w:t>En l'occurrence, selon l'article du 18 octobre 2011, le Conseiller d'Etat a confirmé les propos tenus lors de l'émission du 20 mars 2011, lesquels n'avaient pas fait l'objet d'une plainte pénale. Il ajoutait cependant: "Ces propos étaient parfaitement réfléchis. Et je pense que sept mois après cette émission, la population genevoise est plus que jamais persuadée que Charles Poncet est effectivement un traître qui, pour quelques billets de mille, a lancé des procédures contre son pays au moment où des négociations extrêmement délicates étaient en cours pour libérer les otages suisses retenus en Libye". Les interventions judiciaires et extrajudiciaires du recourant en faveur de la Libye et de certains de ses ressortissants sont connues et non contestées par les parties. Le recourant a en particulier représenté Hannibal Kadhafi dans le cadre d'une action en responsabilité dirigée notamment contre l'Etat de Genève, en raison de la publication dans la presse d'une photographie de l'identité judiciaire. Il a également représenté l'Etat libyen dans la négociation destinée à la mise en oeuvre d'un tribunal arbitral international chargé de statuer sur le différend opposant les deux Etats.</w:t>
      </w:r>
    </w:p>
    <w:p>
      <w:r>
        <w:t>Les propos litigieux ne portent dès lors nullement sur la révélation ou la mise en avant de faits précis, mais sur un jugement de valeur attaché à ceux-ci; cela ressort clairement des termes employés ("je pense... que la population genevoise est plus que jamais persuadée que..."). Il n'est évidemment pas reproché au recourant un acte de haute trahison ou tout autre délit contre l'Etat. Le Conseiller d'Etat a simplement voulu exprimer le sentiment selon lequel l'attitude du recourant, en particulier ses déclarations publiques, auraient pu nuire aux négociations délicates entre la Libye et la Suisse. L'accusation de traître ne devait dès lors pas être prise au pied de la lettre, mais comme l'expression d'un jugement de valeur. Or, selon la jurisprudence constante, un tel jugement, présenté comme tel, n'est pas considéré comme une diffamation ( ATF 137 IV 313 consid. 2.1.2 p. 315; 128 IV 53 consid. 1/f/aa p. 61).</w:t>
      </w:r>
    </w:p>
    <w:p>
      <w:r>
        <w:t>Au demeurant, compte tenu de la gravité de la crise survenue entre les deux Etats (la Libye ayant en particulier adopté de nombreuses mesures de rétorsion et retenu deux ressortissants suisses) et du rôle médiatisé que le recourant a choisi d'assumer, l'expression utilisée, même excessive, fait partie des critiques auxquelles celui-ci pouvait s'attendre, sans qu'elle soit propre à l'exposer au mépris en tant qu'être humain (cf. ATF 137 IV 313 consid. 2.1.4 p. 316 s.; 128 IV 53 consid. 1a p. 58).</w:t>
      </w:r>
    </w:p>
    <w:p>
      <w:r>
        <w:rPr>
          <w:b/>
        </w:rPr>
        <w:t>E. 4.5</w:t>
      </w:r>
    </w:p>
    <w:p>
      <w:r>
        <w:t>La cour cantonale pouvait dès lors, à l'instar du Ministère public, considérer que les chances d'acquittement du Conseiller d'Etat et du journaliste étaient d'emblée supérieures à la probabilité d'une condamnation. La décision de non entrée en matière apparaît dès lors justifiée.</w:t>
      </w:r>
    </w:p>
    <w:p>
      <w:r>
        <w:rPr>
          <w:b/>
        </w:rPr>
        <w:t>E. 5</w:t>
      </w:r>
    </w:p>
    <w:p>
      <w:r>
        <w:t>Le recours doit par conséquent être rejeté, dans la mesure où il est recevable. Conformément à l' art. 66 al. 1 LTF , les frais judiciaires sont mis à la charge du recourant qui succombe. Il n'est pas alloué de dépens, les deux personnes mises en cause n'ayant pas été invitées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