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367/2020 vom 20. Juli 2020</w:t>
      </w:r>
    </w:p>
    <w:p>
      <w:r>
        <w:t>Bundesgericht, 2020-07-20, DE</w:t>
      </w:r>
    </w:p>
    <w:p>
      <w:r>
        <w:rPr>
          <w:b/>
        </w:rPr>
        <w:t xml:space="preserve">Quelle: </w:t>
      </w:r>
      <w:r>
        <w:t>https://mcp.opencaselaw.ch/entscheid/bger_1B_367_2020</w:t>
      </w:r>
    </w:p>
    <w:p>
      <w:r>
        <w:t>FR: TF 1B 367/2020 du 20 juillet 2020</w:t>
      </w:r>
    </w:p>
    <w:p>
      <w:r>
        <w:t>IT: TF 1B 367/2020 del 20 luglio 2020</w:t>
      </w:r>
    </w:p>
    <w:p>
      <w:pPr>
        <w:pStyle w:val="Heading2"/>
      </w:pPr>
      <w:r>
        <w:t>Regeste</w:t>
      </w:r>
    </w:p>
    <w:p>
      <w:r>
        <w:t>Strafverfahren; Tätlichkeit | Strafprozess</w:t>
      </w:r>
    </w:p>
    <w:p>
      <w:pPr>
        <w:pStyle w:val="Heading2"/>
      </w:pPr>
      <w:r>
        <w:t>Erwägungen</w:t>
      </w:r>
    </w:p>
    <w:p>
      <w:r>
        <w:rPr>
          <w:b/>
        </w:rPr>
        <w:t>E. 1</w:t>
      </w:r>
    </w:p>
    <w:p>
      <w:r>
        <w:t>Mit Verfügung vom 19. Juni 2020 hiess das Luzerner Kantonsgericht den Beweisantrag um Anordnung eines Gutachtens zu verschiedenen Sachverhaltsfragen gut, welchen die Staatsanwaltschaft des Kantons Luzern mit Berufung gegen das Urteil des Kriminalgerichts i.S. A.________eingereicht hatte. Mit Beschwerde in Strafsachen beantragt A.________, diese Beweisverfügung aufzuheben, und ersucht um unentgeltliche Rechts pflege und Verbeiständung. Vernehmlassungen wurden keine eingeholt.</w:t>
      </w:r>
    </w:p>
    <w:p>
      <w:r>
        <w:rPr>
          <w:b/>
        </w:rPr>
        <w:t>E. 2</w:t>
      </w:r>
    </w:p>
    <w:p>
      <w:r>
        <w:t>Angefochten ist ein kantonal letztinstanzlicher Entscheid, mit dem das Kantonsgericht einen Beweisantrag der Staatsanwaltschaft gutgeheissen hat; dagegen steht die Beschwerde in Strafsachen offen ( Art. 78 Abs. 1, Art. 80 BGG ). Er schliesst das Verfahren indessen nicht ab; es handelt sich mithin um einen Zwischenentscheid, gegen den die Beschwerde zulässig ist, wenn er einen nicht wiedergutzumachenden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 Der Beschwerdeführer legt unter Verletzung seiner gesetzlichen Begründungspflicht nicht dar, inwiefern der angefochtene Entscheid einen nicht wiedergutzumachenden Nachteil rechtlicher Natur bewirken könnte, und das ist auch nicht ersichtlich. Auf die Beschwerde ist im vereinfachten Verfahren nicht einzutreten.</w:t>
      </w:r>
    </w:p>
    <w:p>
      <w:r>
        <w:rPr>
          <w:b/>
        </w:rPr>
        <w:t>E. 3</w:t>
      </w:r>
    </w:p>
    <w:p>
      <w:r>
        <w:t>Bei diesem Ausgang des Verfahrens wird an sich der Beschwerdeführer kostenpflichtig ( Art. 66 Abs. 1 BGG ). Er hat zwar ein Gesuch um unentgeltliche Rechtspflege und Verbeiständung gestellt, welches indessen abzuweisen ist, da die Beschwerde aussichtslos war ( Art. 64 Abs. 1 und 2 BGG ). Auf die Erhebung von Kosten kann jedoch aus 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