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365/2016 vom 24. Oktober 2016</w:t>
      </w:r>
    </w:p>
    <w:p>
      <w:r>
        <w:t>Bundesgericht, 2016-10-24, FR</w:t>
      </w:r>
    </w:p>
    <w:p>
      <w:r>
        <w:rPr>
          <w:b/>
        </w:rPr>
        <w:t xml:space="preserve">Quelle: </w:t>
      </w:r>
      <w:r>
        <w:t>https://mcp.opencaselaw.ch/entscheid/bger_1B_365_2016</w:t>
      </w:r>
    </w:p>
    <w:p>
      <w:r>
        <w:t>FR: TF 1B 365/2016 du 24 octobre 2016</w:t>
      </w:r>
    </w:p>
    <w:p>
      <w:r>
        <w:t>IT: TF 1B 365/2016 del 24 ottobre 2016</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Le recours a été formé en temps utile ( art. 100 al. 1 LTF ) contre une décision prise en dernière instance cantonale ( art. 80 LTF ). L'arrêt attaqué confirme le refus de prononcer, à titre de mesure de substitution, la poursuite de l'exécution du solde des peines privatives de liberté auxquelles le recourant a été préalablement condamné; celui-ci, prévenu et détenu, a donc un intérêt juridiquement protégé à son annulation ou à sa modification (art. 81 al. 1 let. a et b ch. 1 LTF). Vu de plus les différences de régime entre ces deux types de détention, le recourant subit également un préjudice irréparable ( art. 93 al. 1 let. a LTF ). Partant, il y a lieu d'entrer en matière.</w:t>
      </w:r>
    </w:p>
    <w:p>
      <w:r>
        <w:rPr>
          <w:b/>
        </w:rPr>
        <w:t>E. 2</w:t>
      </w:r>
    </w:p>
    <w:p>
      <w:r>
        <w:t>Le recourant ne conteste pas l'existence de charges suffisantes à son encontre, ainsi que celle de dangers de fuite et de récidive, conditions qui permettent en principe d'ordonner, respectivement de prolonger, la détention provisoire (art. 221 al. 1 let. a et c CPP). Invoquant l' art. 237 CPP , le recourant reproche en revanche à l'autorité précédente d'avoir considéré que la poursuite de l'exécution de peines privatives de liberté prononcées précédemment à son encontre ne constituerait pas une mesure de substitution adéquate à la détention provisoire.</w:t>
      </w:r>
    </w:p>
    <w:p>
      <w:r>
        <w:rPr>
          <w:b/>
        </w:rPr>
        <w:t>E. 2.1</w:t>
      </w:r>
    </w:p>
    <w:p>
      <w:r>
        <w:t>En vertu du principe de proportionnalité ancré à l' art. 36 al. 3 Cst. , l'autorité doit tenter autant que possible de substituer à la détention toute autre mesure moins incisive propre à atteindre le même résultat ( ATF 133 I 270 consid. 2.2 p. 276). Cette exigence est concrétisée par l' art. 237 al. 1 CPP ,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 art. 237 al. 2 CPP et peut également, le cas échéant, assortir la/les mesure (s) de substitution de toute condition propre à en garantir l'efficacité (arrêt 1B_165/2012 du 12 avril 2012 consid. 2.3 publié in SJ 2012 I 407).</w:t>
      </w:r>
    </w:p>
    <w:p>
      <w:r>
        <w:rPr>
          <w:b/>
        </w:rPr>
        <w:t>E. 2.2</w:t>
      </w:r>
    </w:p>
    <w:p>
      <w:r>
        <w:t>En l'occurrence, la détention provisoire ordonnée à l'encontre du recourant tend à pallier des risques de fuite et de récidive. Selon la jurisprudence, l'exécution des peines privatives de liberté découlant de précédentes condamnations est en principe compatible avec le but de la détention provisoire, tout particulièrement lorsqu'il s'agit de prévenir les deux dangers susmentionnés (arrêts 1B_680/2012 du 6 décembre 2012 consid. 2.2 in fine; 1B_165/2012 du 12 avril 2012 consid. 2.3 publié in SJ 2012 I 407; MOREILLON/PAREIN-REYMOND, Petit commentaire, Code de procédure pénale, 2e éd. 2016, n° 5 ad art. 237 CPP ; NIKLAUS SCHMID, Schweizerische Strafprozessordnung, Praxiskommentar, 2e éd. 2013, n° 5 ad art. 237 CPP ). Certes, dans le cadre du régime de l'exécution des peines, l'autorité vaudoise compétente en la matière peut, dès la mi-peine et à certaines conditions, accorder au recourant un aménagement de travail externe ( art. 77a al. 1 CP ), des congés ( art. 84 al. 6 CP ), voire une éventuelle libération conditionnelle ( art. 86 al. 4 CP ). Cependant, si ces situations devaient se réaliser - ce que le recourant semble lui-même exclure vu son casier judiciaire (douze condamnations entre janvier 2009 et octobre 2015 principalement pour séjours illégaux, vols, vols par métier et en bande, infractions en matière de stupéfiants, violations de domiciles, utilisation frauduleuse d'un ordinateur, recel et infraction à la législation sur les armes) -, il n'en résulterait pas pour autant que celui-ci se trouverait remis en liberté. Dans sa décision, le juge de la détention peut en effet prévoir, à titre de condition à la mesure d'allègement, que le prévenu sera à nouveau placé en détention provisoire - ou pour motifs de sûreté selon l'avancement de la procédure - si l'exécution des sanctions précédentes, respectivement l'aménagement de celle-ci, devait entraîner sa libération préalablement à l'issue de la procédure ayant amené son placement en détention provisoire (arrêt 1B_165/2012 du 12 avril 2012 consid. 2.3 publié in SJ 2012 I 407). De plus, dès lors que l'avis d'écrou fait état de l'échéancier relatif à l'exécution de la peine, les autorités pénales genevoises paraissent à même de prendre les dispositions nécessaires pour éviter une libération, pouvant notamment s'adresser aux autorités pénales vaudoises (cf. à cet égard les dispositions en matière d'entraide judiciaire intercantonale, spécialement art. 43 al. 4, 46 al. 1 et 50 CPP). Il apparaît en conséquence que l'exécution du solde des peines privatives de liberté antérieures permet de pallier le risque de fuite. S'agissant du risque de récidive, les actes examinés dans la présente cause ont certes été commis alors que le recourant purgeait une peine privative de liberté en milieu fermé. Il n'en demeure pas moins que le danger de réitération de l' art. 221 al. 1 let . c CPP doit s'apprécier de manière plus large en tenant compte de tous les antécédents, en l'espèce nombreux, du prévenu. Dans ces conditions, la mesure de substitution est aussi apte en l'occurrence à réduire ce danger.</w:t>
      </w:r>
    </w:p>
    <w:p>
      <w:r>
        <w:rPr>
          <w:b/>
        </w:rPr>
        <w:t>E. 2.3</w:t>
      </w:r>
    </w:p>
    <w:p>
      <w:r>
        <w:t>Au regard de ces circonstances, la Chambre pénale de recours a violé le droit fédéral en considérant que l'exécution du solde des peines privatives de liberté prononcées préalablement à l'encontre du recourant ne constituait pas une mesure de substitution adéquate et ce grief doit être admis.</w:t>
      </w:r>
    </w:p>
    <w:p>
      <w:r>
        <w:rPr>
          <w:b/>
        </w:rPr>
        <w:t>E. 3</w:t>
      </w:r>
    </w:p>
    <w:p>
      <w:r>
        <w:t>Il s'ensuit que le recours est admis. L'arrêt attaqué est annulé. La cause est renvoyée à l'autorité précédente pour qu'elle ordonne, à titre de mesure de substitution à la détention provisoire, l'exécution du solde des peines privatives de liberté prononcées antérieurement à l'encontre du recourant; elle définira également à quelles conditions et dans quelles hypothèses, la détention provisoire pourrait être à nouveau ordonnée; tel serait notamment le cas si l'exécution des peines prenait fin avant la clôture de la procédure P1 ou si l'exécution de celles-ci ne devait plus se dérouler en milieu fermé. Dès lors que les conditions permettant la détention provisoire sont réalisées, l'admission du recours n'entraîne pas la libération immédiate du recourant. Cette mesure est maintenue jusqu'à ce que le transfert du recourant en exécution de peine soit mis en oeuvre. Le recourant, qui obtient gain de cause avec un avocat, a droit à des dépens à la charge de la République et canton de Genève ( art. 68 al. 1 LTF ). Sa requête d'assistance judiciaire est donc sans objet ( art. 64 LTF ). Il n'y a pas lieu de percevoir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