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1B_363/2020 vom 16. Juli 2020</w:t>
      </w:r>
    </w:p>
    <w:p>
      <w:r>
        <w:t>Bundesgericht, 2020-07-16, DE</w:t>
      </w:r>
    </w:p>
    <w:p>
      <w:r>
        <w:rPr>
          <w:b/>
        </w:rPr>
        <w:t xml:space="preserve">Quelle: </w:t>
      </w:r>
      <w:r>
        <w:t>https://mcp.opencaselaw.ch/entscheid/bger_1B_363_2020</w:t>
      </w:r>
    </w:p>
    <w:p>
      <w:r>
        <w:t>FR: TF 1B_363/2020 du 16 juillet 2020</w:t>
      </w:r>
    </w:p>
    <w:p>
      <w:r>
        <w:t>IT: TF 1B_363/2020 del 16 luglio 2020</w:t>
      </w:r>
    </w:p>
    <w:p>
      <w:pPr>
        <w:pStyle w:val="Heading2"/>
      </w:pPr>
      <w:r>
        <w:t>Erwägungen</w:t>
      </w:r>
    </w:p>
    <w:p>
      <w:r>
        <w:rPr>
          <w:b/>
        </w:rPr>
        <w:t>E. 1</w:t>
      </w:r>
    </w:p>
    <w:p>
      <w:r>
        <w:t>Am 30. Juni 2020 hat das Zwangsmassnahmengericht des Bezirks Zürich das Wiedererwägungsgesuch der Staatsanwaltschaft Limmattal/Albis gutgeheissen und seinen Entscheid vom 27. Mai 2020, mit dem es auf ein Entsiegelungsgesuch der Staatsanwaltschaft vom 19. Mai 2020 nicht eingetreten war, aufgehoben. Es ist dementsprechend auf das Entsiegelungsgesuch eingetreten und hat das Verfahren fortgeführt.</w:t>
      </w:r>
    </w:p>
    <w:p>
      <w:r>
        <w:t>Mit Beschwerde vom 13. Juli 2020 beantragt A.________ u.a., die Nichtigkeit des Entscheids vom 30. Juni 2020 festzustellen. Ausserdem ersucht er um unentgeltliche Rechtspflege und Verbeiständung.</w:t>
      </w:r>
    </w:p>
    <w:p>
      <w:r>
        <w:t>Vernehmlassungen wurden keine eingeholt.</w:t>
      </w:r>
    </w:p>
    <w:p>
      <w:r>
        <w:rPr>
          <w:b/>
        </w:rPr>
        <w:t>E. 2</w:t>
      </w:r>
    </w:p>
    <w:p>
      <w:r>
        <w:t>Angefochten ist ein kantonal letztinstanzlicher Entscheid, mit dem das Zwangsmassnahmengericht wiedererwägungsweise auf ein Entsiegelungsgesuch eingetreten ist; dagegen ist die Beschwerde in Strafsachen zulässig ( Art. 78 Abs. 1, Art. 80 BGG ). Er schliesst das Verfahren indessen nicht ab; es handelt sich mithin um einen Zwischenentscheid, gegen den die Beschwerde zulässig ist, wenn er einen nicht wiedergutzumachenden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t>Mit dem angefochtenen Entscheid steht fest, dass im Rahmen des gegen A.________ laufenden Strafverfahrens wegen Betäubungsmitteldelikten das Entsiegelungsverfahren in Bezug auf vier versiegelte Mobiltelefone durchgeführt wird. Die Fortführung des Entsiegelungs- und damit des Strafverfahrens bewirkt nach konstanter Praxis keinen nicht wiedergutzumachenden Nachteil im Sinn von Art. 93 Abs. 1 BGG ( BGE 133 IV 139 E. 4).</w:t>
      </w:r>
    </w:p>
    <w:p>
      <w:r>
        <w:rPr>
          <w:b/>
        </w:rPr>
        <w:t>E. 3</w:t>
      </w:r>
    </w:p>
    <w:p>
      <w:r>
        <w:t>Auf die Beschwerde ist im vereinfachten Verfahren nicht einzutreten. Das Gesuch um unentgeltliche Rechtspflege und Verbeiständung ist abzuweisen, da die Beschwerde aussichtslos war ( Art. 64 Abs. 1 und 2 BGG ).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