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1B_363/2016 vom 4. Oktober 2016</w:t>
      </w:r>
    </w:p>
    <w:p>
      <w:r>
        <w:t>Bundesgericht, 2016-10-04, DE</w:t>
      </w:r>
    </w:p>
    <w:p>
      <w:r>
        <w:rPr>
          <w:b/>
        </w:rPr>
        <w:t xml:space="preserve">Quelle: </w:t>
      </w:r>
      <w:r>
        <w:t>https://mcp.opencaselaw.ch/entscheid/bger_1B_363_2016</w:t>
      </w:r>
    </w:p>
    <w:p>
      <w:r>
        <w:t>FR: TF 1B_363/2016 du 4 octobre 2016</w:t>
      </w:r>
    </w:p>
    <w:p>
      <w:r>
        <w:t>IT: TF 1B_363/2016 del 4 ottobre 2016</w:t>
      </w:r>
    </w:p>
    <w:p>
      <w:pPr>
        <w:pStyle w:val="Heading2"/>
      </w:pPr>
      <w:r>
        <w:t>Erwägungen</w:t>
      </w:r>
    </w:p>
    <w:p>
      <w:r>
        <w:rPr>
          <w:b/>
        </w:rPr>
        <w:t>E. 1</w:t>
      </w:r>
    </w:p>
    <w:p>
      <w:r>
        <w:t>Die Staatsanwaltschaft des Kantons St. Gallen führt gegen A.________ ein Strafverfahren wegen Verdachts der ungetreuen Geschäftsbesorgung. Am 8. August 2016 wurde in der Wohnung von A.________ in St. Gallen eine Hausdurchsuchung durchgeführt. Dabei wurden drei Ordner sowie eine Aktenmappe sichergestellt und noch am gleichen Tag versiegelt. Die Staatsanwaltschaft des Kantons St. Gallen stellte am 10. August 2016 den Antrag auf Entsiegelung der sichergestellten und versiegelten Gegenstände. Das Kantonale Zwangsmassnahmengericht des Kantons St. Gallen ordnete mit Entscheid vom 5. September 2016 die Entsiegelung der sichergestellten und versiegelten Gegenstände und Dokumente an.</w:t>
      </w:r>
    </w:p>
    <w:p>
      <w:r>
        <w:rPr>
          <w:b/>
        </w:rPr>
        <w:t>E. 2</w:t>
      </w:r>
    </w:p>
    <w:p>
      <w:r>
        <w:t>A.________ führt mit Eingabe vom 2. Oktober 2016 (Postaufgabe 3. Oktober 2016) Beschwerde in Strafsachen gegen den Entscheid des Kantonalen Zwangsmassnahmengerichts des Kantons St. Gallen.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mit der Begründung des Entsiegelungsentscheids des Zwangsmassnahmengerichts nicht auseinander. Aus ihrer Eingabe ergibt sich somit nicht, inwiefern das Zwangsmassnahmengericht die Entsiegelung in rechts- bzw. verfassungswidriger Weise angeordnet haben sollte.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