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1B_363/2013 vom 12. Mai 2015</w:t>
      </w:r>
    </w:p>
    <w:p>
      <w:r>
        <w:t>Bundesgericht, 2015-05-12, FR</w:t>
      </w:r>
    </w:p>
    <w:p>
      <w:r>
        <w:rPr>
          <w:b/>
        </w:rPr>
        <w:t xml:space="preserve">Quelle: </w:t>
      </w:r>
      <w:r>
        <w:t>https://mcp.opencaselaw.ch/entscheid/bger_1B_363_2013</w:t>
      </w:r>
    </w:p>
    <w:p>
      <w:r>
        <w:t>FR: TF 1B_363/2013 du 12 mai 2015</w:t>
      </w:r>
    </w:p>
    <w:p>
      <w:r>
        <w:t>IT: TF 1B_363/2013 del 12 maggio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t>La décision attaquée a été rendue dans une cause pénale par une juridiction cantonale statuant en dernière instance ( art. 80 al. 1 LTF ). Le recours en matière pénale au sens de l' art. 78 al. 1 LTF est donc en principe ouvert. Le mémoire de recours a été déposé en temps utile ( art. 100 al. 1 LTF ) et les conclusions présentées sont recevables ( art. 107 al. 2 LTF ). Le Procureur dispose en outre d'un intérêt juridiquement protégé à l'annulation de l'arrêt attaqué, dès lors qu'il conteste le retrait de certaines pièces du dossier pénal (art. 81 al. 1 let. a et b ch. 3 LTF).</w:t>
      </w:r>
    </w:p>
    <w:p>
      <w:r>
        <w:rPr>
          <w:b/>
        </w:rPr>
        <w:t>E. 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w:t>
      </w:r>
    </w:p>
    <w:p>
      <w:r>
        <w:rPr>
          <w:b/>
        </w:rPr>
        <w:t>E. 2.1</w:t>
      </w:r>
    </w:p>
    <w:p>
      <w:r>
        <w:t>Vu la nécessité d'établir les modalités de prise en compte des art. 140 et 141 CPP dans le cadre d'un recours devant le Tribunal fédéral, la cause 1B_363/2013 a donné lieu à une procédure de coordination de la jurisprudence au sens de l' art. 23 al. 2 LTF à laquelle ont participé la Cour de droit pénal et la Première Cour de droit public. Cet échange de vues a conduit à préciser la jurisprudence.</w:t>
      </w:r>
    </w:p>
    <w:p>
      <w:r>
        <w:rPr>
          <w:b/>
        </w:rPr>
        <w:t>E. 2.2</w:t>
      </w:r>
    </w:p>
    <w:p>
      <w:r>
        <w:t>En matière pénale, le préjudice irréparable au sens de l' art. 93 al. 1 let. a LTF se rapporte à un dommage de nature juridique qui ne puisse pas être réparé ultérieurement par un jugement final ou une autre décision favorable au recourant ( ATF 137 IV 172 consid. 2.1 p. 173 s.).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139 IV 128 consid. 1.6 et 1.7 p. 134 s.; arrêt 6B_883/2013 du 17 février 2014 consid. 2, publié in SJ 2014 I 348).</w:t>
      </w:r>
    </w:p>
    <w:p>
      <w:r>
        <w:rPr>
          <w:b/>
        </w:rPr>
        <w:t>E. 2.3</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w:t>
      </w:r>
    </w:p>
    <w:p>
      <w:r>
        <w:t>En vertu de l' art. 42 al. 1 LTF , il incombe au recourant d'alléguer les faits qu'il considère comme propres à fonder sa qualité pour recourir ( ATF 141 IV 1 consid. 1.1; 138 IV 86 consid. 3 p. 88 et les arrêts cités) et ceux permettant de démontrer l'existence d'un préjudice irréparable lorsque celui-ci n'est pas d'emblée évident ( ATF 138 III 46 consid. 1.2 p. 47 et les arrêts cités).</w:t>
      </w:r>
    </w:p>
    <w:p>
      <w:r>
        <w:rPr>
          <w:b/>
        </w:rPr>
        <w:t>E. 2.4</w:t>
      </w:r>
    </w:p>
    <w:p>
      <w:r>
        <w:t>La situation procédurale est différente lorsque, pendant la procédure préliminaire et contre l'avis du ministère public, l'autorité cantonale de recours reconnaît le caractère non exploitable des moyens de preuve et ordonne de les retirer du dossier ( art. 141 al. 5 CPP ). Le ministère public risque de subir un préjudice irréparable lorsque, sans ces moyens de preuve, l'accusation est entravée au point de rendre impossible ou, à tout le moins, particulièrement difficile, la continuation de la procédure pénale. Tel n'est cependant pas le cas si le ministère public dispose d'autres mesures d'instruction pour continuer la procédure et, cas échéant, rendre une ordonnance de mise en accusation (cf. ATF 139 IV 25 consid. 1 p. 27). Il appartient dans tous les cas au ministère public d'alléguer et de démontrer la réalisation des conditions d'application de l' art. 93 al. 1 let. a LTF pour que son recours au Tribunal fédéral soit recevable ( ATF 138 III 46 consid. 1.2 p. 47 et les arrêts cités).</w:t>
      </w:r>
    </w:p>
    <w:p>
      <w:r>
        <w:rPr>
          <w:b/>
        </w:rPr>
        <w:t>E. 2.5</w:t>
      </w:r>
    </w:p>
    <w:p>
      <w:r>
        <w:t>En l'occurrence, le Ministère public affirme que l'arrêt attaqué aurait pour conséquence de "vider entièrement de sa substance la procédure pénale visant l'intimé", dès lors que la majorité des pièces doivent être retirées du dossier. En particulier, les notes internes transmises au MROS exprimeraient les réflexions de l'intimé après que des clients aient fait part de leur inquiétude auprès de la banque, et démontreraient le temps écoulé entre l'intervention des clients et l'annonce au MROS. Faute de pouvoir utiliser ces pièces, les soupçons à l'encontre de l'intimé devraient être relativisés, ce qui pourrait conduire à une décision de classement.</w:t>
      </w:r>
    </w:p>
    <w:p>
      <w:r>
        <w:rPr>
          <w:b/>
        </w:rPr>
        <w:t>E. 2.5.1</w:t>
      </w:r>
    </w:p>
    <w:p>
      <w:r>
        <w:t>Les procédures menées, d'une part, contre H.________ et, d'autre part, contre l'intimé et le responsable du service "compliance" de la banque ont été jointes formellement par décision du 10 octobre 2012, contre laquelle les parties n'ont pas recouru. Le dossier, tel qu'il a été produit au Tribunal fédéral, contient ainsi l'ensemble des pièces relatives aux deux procédures et il est loisible au Ministère public d'utiliser, à charge de l'intimé, l'ensemble des renseignements recueillis dans le cadre de l'instruction dirigée contre H.________. Comme le relève le Ministère public lui-même, des soupçons à l'égard de l'établissement bancaire étaient déjà évoqués dans la plainte déposée le 27 juin 2011, aux termes de laquelle les plaignants, citant nommément l'intimé, se demandaient si les responsables de la banque avaient rempli leurs obligations découlant de la LBA.</w:t>
      </w:r>
    </w:p>
    <w:p>
      <w:r>
        <w:t>Indépendamment des renseignements ressortant des documents litigieux, le Ministère public pouvait déjà fonder ses soupçons sur la plainte de la FINMA et sur le simple fait qu'en dépit de l'intervention des plaignants, la banque avait attendu une seconde démarche en septembre 2010 pour convoquer son client et mettre un terme à la relation d'affaires, puis pour dénoncer le cas le 2 novembre 2010. L'autorité d'instruction peut également obtenir des renseignements sur ce point auprès des plaignants, ou interroger le cas échéant les prévenus ou d'autres responsables de l'établissement bancaire.</w:t>
      </w:r>
    </w:p>
    <w:p>
      <w:r>
        <w:rPr>
          <w:b/>
        </w:rPr>
        <w:t>E. 2.5.2</w:t>
      </w:r>
    </w:p>
    <w:p>
      <w:r>
        <w:t>Pour leur plus grande part, les pièces écartées de la procédure (pièces 20'000 à 21286, trois classeurs) sont des documents bancaires (extraits, relevés, avis) que le Ministère public peut obtenir auprès de la banque, ainsi que le relève d'ailleurs la décision attaquée. Le quatrième classeur (pièces 21'287 à 21380) contient la communication proprement dite faite par la banque. La question de savoir si les prévenus ont tardé à agir peut toutefois être instruite sans avoir recours à ces derniers documents, puisqu'il s'agit de rechercher en premier lieu si les inculpés ont fait preuve de l'attention nécessaire et s'ils devaient procéder à des clarifications. Le Ministère public relève qu'il y aurait lieu de déterminer l'intervalle de temps écoulé entre la prise de contact de la part des plaignants et le dépôt de l'annonce MROS; ces renseignements, qui paraissent ressortir de la plainte de la FINMA, peuvent facilement être obtenus sans utilisation des pièces litigieuses.</w:t>
      </w:r>
    </w:p>
    <w:p>
      <w:r>
        <w:rPr>
          <w:b/>
        </w:rPr>
        <w:t>E. 2.5.3</w:t>
      </w:r>
    </w:p>
    <w:p>
      <w:r>
        <w:t>En définitive, rien ne permet d'affirmer qu'à défaut des pièces écartées du dossier, la procédure contre l'intimé aboutirait nécessairement et immédiatement à un classement. Le Ministère public ne parvient dès lors pas à démontrer, comme l'exige l' art. 42 al. 1 LTF , que la décision attaquée causerait un préjudice irréparable.</w:t>
      </w:r>
    </w:p>
    <w:p>
      <w:r>
        <w:rPr>
          <w:b/>
        </w:rPr>
        <w:t>E. 3</w:t>
      </w:r>
    </w:p>
    <w:p>
      <w:r>
        <w:t>Le recours doit par conséquent être déclaré irrecevable. Conformément à l' art. 66 al. 4 LTF , il n'est pas perçu de frais judiciaires. L'Etat de Fribourg versera à l'intimé A.________, qui obtient gain de cause avec l'assistance d'un avocat,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