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1B_360/2021 vom 27. Oktober 2021</w:t>
      </w:r>
    </w:p>
    <w:p>
      <w:r>
        <w:t>Bundesgericht, 2021-10-27, DE</w:t>
      </w:r>
    </w:p>
    <w:p>
      <w:r>
        <w:rPr>
          <w:b/>
        </w:rPr>
        <w:t xml:space="preserve">Quelle: </w:t>
      </w:r>
      <w:r>
        <w:t>https://mcp.opencaselaw.ch/entscheid/bger_1B_360_2021</w:t>
      </w:r>
    </w:p>
    <w:p>
      <w:r>
        <w:t>FR: TF 1B_360/2021 du 27 octobre 2021</w:t>
      </w:r>
    </w:p>
    <w:p>
      <w:r>
        <w:t>IT: TF 1B_360/2021 del 27 ottobre 2021</w:t>
      </w:r>
    </w:p>
    <w:p>
      <w:pPr>
        <w:pStyle w:val="Heading2"/>
      </w:pPr>
      <w:r>
        <w:t>Erwägungen</w:t>
      </w:r>
    </w:p>
    <w:p>
      <w:r>
        <w:rPr>
          <w:b/>
        </w:rPr>
        <w:t>E. 1</w:t>
      </w:r>
    </w:p>
    <w:p>
      <w:r>
        <w:t>Anfechtungsobjekt im vorliegenden Verfahren bildet die Verfügung vom 18. Mai 2021 betreffend die Verweigerung der unentgeltlichen Rechtspflege im kantonsgerichtlichen Beschwerdeverfahren. Es handelt sich um einen Zwischenentscheid, der das kantonale Beschwerdeverfahren KG 2N 20 108 nicht abschliesst.</w:t>
      </w:r>
    </w:p>
    <w:p>
      <w:r>
        <w:t>Der angefochtene Entscheid ist geeignet, einen nicht wieder gutzumachenden Nachteil zu bewirken ( BGE 140 IV 202 E. 2.2). Gegen ihn steht grundsätzlich die Beschwerde in Strafsachen offen (vgl. Art. 78 Abs. 1, Art. 80 Abs. 1 sowie Art. 93 Abs. 1 lit. a BGG ). Die Beschwerdeführerin ist zur Rüge, es sei ihr im kantonalen Verfahren zu Unrecht die unentgeltliche Rechtspflege verweigert worden, nach Art. 81 Abs. 1 BGG unabhängig von ihrer Legitimation in der Sache befugt (vgl. BGE 136 IV 29 E. 1.9; Urteile 1B_140/2019 vom 13. Juni 2019 E. 1; 1B_446/2018 vom 14. November 2018 E. 1.1 mit weiteren Hinweisen). Die übrigen Prozessvoraussetzungen geben zu keinen Bemerkungen Anlass. Auf die Beschwerde ist somit einzutreten.</w:t>
      </w:r>
    </w:p>
    <w:p>
      <w:r>
        <w:rPr>
          <w:b/>
        </w:rPr>
        <w:t>E. 2</w:t>
      </w:r>
    </w:p>
    <w:p>
      <w:r>
        <w:t>Gemäss Art. 112 Abs. 1 lit. b BGG müssen Entscheide, die der Beschwerde an das Bundesgericht unterliegen, die massgebenden Gründe tatsächlicher und rechtlicher Art, insbesondere die Angabe der angewendeten Gesetzesbestimmungen, enthalten. Aus dem Entscheid muss klar hervorgehen, von welchem festgestellten Sachverhalt die Vorinstanz ausgegangen ist und welche rechtlichen Überlegungen sie angestellt hat ( BGE 141 IV 244 E. 1.2.1; 138 IV 81 E. 2.2; 135 II 145 E. 8.2).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(vgl. BGE 135 II 145 E. 8.2; 119 IV 284 E. 5b; Urteil 6B_1101/2017 vom 30. Mai 2018 E. 5.4.4; je mit Hinweisen). Genügt ein Entscheid den Anforderungen gemäss Art. 112 Abs. 1 lit. b BGG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vgl. zum Ganzen auch Urteil 1B_274/2021 vom 24. August 2021 E. 1).</w:t>
      </w:r>
    </w:p>
    <w:p>
      <w:r>
        <w:rPr>
          <w:b/>
        </w:rPr>
        <w:t>E. 3</w:t>
      </w:r>
    </w:p>
    <w:p>
      <w:r>
        <w:t>Das Kantonsgericht prüfte das Gesuch der Beschwerdeführerin unter den Voraussetzungen von Art. 136 StPO . Diese Bestimmung betrifft die Gewährung der unentgeltlichen Rechtspflege für die Privatklägerschaft im Strafprozess (vgl. Urteil 1B_140/2019 vom 13. Juni 2019 E. 2.2 mit Hinweis). Aus dem angefochtenen Entscheid geht allerdings nicht hervor, für welches Strafverfahren das Kantonsgericht die Tatbestandsmerkmale von Art. 136 StPO prüfte. Die Strafverfahren gegen die Polizeibeamten wurden erstinstanzlich bereits vor dem angefochtenen Entscheid des Kantonsgerichts eingestellt. Im gegen die Beschwerdeführerin geführten Strafverfahren kann sie selbst sodann nicht gleichzeitig Privatklägerin sein. Zwar war ihr offenbar selbst nicht klar, in welchem bzw. für welches Verfahren sie ihre (seinerzeit ohne anwaltliche Unterstützung bzw. Rechtsvertretung erstellte) Eingabe vom 8. Juni 2020 einreichte. Dies entband das Kantonsgericht aber nicht von der Pflicht, insofern einen nachvollziehbaren Entscheid zu treffen. Zu Recht bringt die Beschwerdeführerin vor diesem Hintergrund vor, das Kantonsgericht habe nicht begründet, weshalb es prüfte, ob sie als Privatklägerin Anspruch auf unentgeltliche Rechtspflege habe.</w:t>
      </w:r>
    </w:p>
    <w:p>
      <w:r>
        <w:t>Das Kantonsgericht thematisierte in der angefochtenen Verfügung ferner die Frage, ob gestützt auf Art. 2 und/oder Art. 3 EMRK die Gewährung der unentgeltlichen Rechtspflege in Betracht kommt. Auch diesbezüglich bleibt jedoch im Dunkeln, auf welches Strafverfahren sich die vorinstanzlichen Ausführungen beziehen.</w:t>
      </w:r>
    </w:p>
    <w:p>
      <w:r>
        <w:t>Ohne Angaben zur Frage, welchem Strafverfahren das vom Kantonsgericht behandelte Gesuch zuzuordnen ist, lässt sich seine rechtliche Schlussfolgerung vom Bundesgericht nicht auf Vereinbarkeit mit Bundesrecht hin überprüfen. Die angefochtene Verfügung genügt damit den Anforderungen von Art. 112 Abs. 1 lit. b BGG nicht. Sie ist deshalb aufzuheben ( Art. 112 Abs. 3 BGG ) und die Sache an die Vorinstanz zurückzuweisen, damit diese einen den Anforderungen von Art. 112 Abs. 1 lit. b BGG genügenden Entscheid trifft.</w:t>
      </w:r>
    </w:p>
    <w:p>
      <w:r>
        <w:rPr>
          <w:b/>
        </w:rPr>
        <w:t>E. 4</w:t>
      </w:r>
    </w:p>
    <w:p>
      <w:r>
        <w:t>Nach dem Ausgeführten ist die Beschwerde gutzuheissen, die angefochtene Verfügung aufzuheben und die Sache an die Vorinstanz zurückzuweisen zu neuem Entscheid im Sinne der Erwägungen. Vor diesem Hintergrund erübrigt es sich, auf die weiteren Rügen der Beschwerdeführerin einzugehen.</w:t>
      </w:r>
    </w:p>
    <w:p>
      <w:r>
        <w:t>Bei diesem Ausgang des Verfahrens sind keine Gerichtskosten zu erheben ( Art. 66 Abs. 1 und 4 BGG ). Der Kanton Luzern ist zu verpflichten, dem Vertreter der Beschwerdeführerin eine angemessene Parteientschädigung auszurichten ( Art. 68 Abs. 1 und 2 BGG ). Damit erweist sich deren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