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35/2020 vom 27. Januar 2020</w:t>
      </w:r>
    </w:p>
    <w:p>
      <w:r>
        <w:t>Bundesgericht, 2020-01-27, DE</w:t>
      </w:r>
    </w:p>
    <w:p>
      <w:r>
        <w:rPr>
          <w:b/>
        </w:rPr>
        <w:t xml:space="preserve">Quelle: </w:t>
      </w:r>
      <w:r>
        <w:t>https://mcp.opencaselaw.ch/entscheid/bger_1B_35_2020</w:t>
      </w:r>
    </w:p>
    <w:p>
      <w:r>
        <w:t>FR: TF 1B 35/2020 du 27 janvier 2020</w:t>
      </w:r>
    </w:p>
    <w:p>
      <w:r>
        <w:t>IT: TF 1B 35/2020 del 27 gennaio 2020</w:t>
      </w:r>
    </w:p>
    <w:p>
      <w:pPr>
        <w:pStyle w:val="Heading2"/>
      </w:pPr>
      <w:r>
        <w:t>Regeste</w:t>
      </w:r>
    </w:p>
    <w:p>
      <w:r>
        <w:t>Strafverfahren; Ausstand | Zuständigkeitsfragen, Garantie des Wohnsitzrichters und des v...</w:t>
      </w:r>
    </w:p>
    <w:p>
      <w:pPr>
        <w:pStyle w:val="Heading2"/>
      </w:pPr>
      <w:r>
        <w:t>Erwägungen</w:t>
      </w:r>
    </w:p>
    <w:p>
      <w:r>
        <w:rPr>
          <w:b/>
        </w:rPr>
        <w:t>E. 1</w:t>
      </w:r>
    </w:p>
    <w:p>
      <w:r>
        <w:t>Die Staatsanwaltschaft des Kantons Wallis erklärte A.________ mit Strafbefehl vom 10. Oktober 2019 des mehrfachen Ungehorsams gegen amtliche Verfügungen ( Art. 292 StGB ) schuldig. Dagegen erhob A.________ Einsprache. Das Verfahren ist zur Zeit noch bei der Staatsanwaltschaft des Kantons Wallis hängig.</w:t>
      </w:r>
    </w:p>
    <w:p>
      <w:r>
        <w:rPr>
          <w:b/>
        </w:rPr>
        <w:t>E. 2</w:t>
      </w:r>
    </w:p>
    <w:p>
      <w:r>
        <w:t>A.________ stellte gegen den zuständigen Staatsanwalt Dominic Lehner ein Ausstandsgesuch. Dieser übermittelte das Gesuch am 18. Dezember 2019 dem Kantonsgericht Wallis. Die Strafkammer des Kantonsgerichts Wallis wies mit Verfügung vom 13. Januar 2020 das Ausstandsgesuch ab, soweit sie darauf eintrat. Zur Begründung führte die Strafkammer zusammenfassend aus, dass das Gesuch verspätet eingereicht worden sei. Deshalb sei darauf nicht einzutreten. Selbst wenn auf das Gesuch einzutreten wäre, müsste es als unbegründet abgewiesen werden.</w:t>
      </w:r>
    </w:p>
    <w:p>
      <w:r>
        <w:rPr>
          <w:b/>
        </w:rPr>
        <w:t>E. 3</w:t>
      </w:r>
    </w:p>
    <w:p>
      <w:r>
        <w:t>A.________ führt mit Eingabe vom 20. Januar 2020 Beschwerde in Strafsachen gegen die Verfügung der Strafkammer des Kantonsgerichts Wallis vom 13. Januar 2020. Das Bundesgericht verzichtet auf die Einholung von Vernehmlassungen.</w:t>
      </w:r>
    </w:p>
    <w:p>
      <w:r>
        <w:rPr>
          <w:b/>
        </w:rPr>
        <w:t>E. 4</w:t>
      </w:r>
    </w:p>
    <w:p>
      <w:r>
        <w:t>Der Beschwerdeführer führt in französischer Sprache Beschwerde. Es besteht indessen kein Grund, von der Regel von Art. 54 Abs. 1 BGG abzuweichen, wonach das Verfahren des Bundesgerichts in der Sprache des angefochtenen Entscheids (vorliegend Deutsch) geführt wird.</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erachtet den Kantonsrichter, welcher die angefochtene Verfügung vom 13. Januar 2020 getroffen hatte, sinngemäss als befangen. Die Befangenheitsrüge genügt indessen den Begründungsanforderungen von Art. 42 Abs. 2 BGG nicht, zumal der Umstand, dass der Richter bereits in früheren Verfahren gegen den Beschwerdeführer entschieden hatte, keinen Ausstandsgrund bildet. Im Weiteren setzt sich der Beschwerdeführer nicht mit der Begründung der Strafkammer des Kantonsgerichts auseinander. Die Strafkammer trat wegen verspäteter Geltendmachung auf das Ausstandsgesuch nicht ein. Damit setzt sich der Beschwerdeführer überhaupt nicht auseinander. Aber auch bezüglich der Alternativbegründung vermag der Beschwerdeführer nicht aufzuzeigen, inwiefern diese Recht im Sinne von Art. 42 Abs. 2 BGG verletzen soll. Aus seinen Ausführungen ergibt sich nicht ansatzweise, inwiefern die Begründung der Strafkammer des Kantonsgerichts bzw. deren Verfügung selbst rechts- bzw. verfassungswidrig sein soll. Die Beschwerde genügt den gesetzlichen Formerfordernissen offensichtlich nicht, weshalb auf sie im vereinfachten Verfahren nach Art. 108 Abs. 1 BGG nicht einzutreten ist.</w:t>
      </w:r>
    </w:p>
    <w:p>
      <w:r>
        <w:rPr>
          <w:b/>
        </w:rPr>
        <w:t>E. 6</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