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1B_358/2014 vom 12. Dezember 2014</w:t>
      </w:r>
    </w:p>
    <w:p>
      <w:r>
        <w:t>Bundesgericht, 2014-12-12, FR</w:t>
      </w:r>
    </w:p>
    <w:p>
      <w:r>
        <w:rPr>
          <w:b/>
        </w:rPr>
        <w:t xml:space="preserve">Quelle: </w:t>
      </w:r>
      <w:r>
        <w:t>https://mcp.opencaselaw.ch/entscheid/bger_1B_358_2014</w:t>
      </w:r>
    </w:p>
    <w:p>
      <w:r>
        <w:t>FR: TF 1B_358/2014 du 12 décembre 2014</w:t>
      </w:r>
    </w:p>
    <w:p>
      <w:r>
        <w:t>IT: TF 1B_358/2014 del 12 dicembre 2014</w:t>
      </w:r>
    </w:p>
    <w:p>
      <w:pPr>
        <w:pStyle w:val="Heading2"/>
      </w:pPr>
      <w:r>
        <w:t>Erwägungen</w:t>
      </w:r>
    </w:p>
    <w:p>
      <w:r>
        <w:rPr>
          <w:b/>
        </w:rPr>
        <w:t>E. 1</w:t>
      </w:r>
    </w:p>
    <w:p>
      <w:r>
        <w:t>Deux mémoires de recours ont été déposés contre le jugement du 26 septembre 2014 et, en conséquence, deux dossiers ont été ouverts. Cependant, leur contenu - certes sous l'angle, d'une part, de l'avocat et, d'autre part, du client - sont identiques. Il se justifie donc de joindre les deux causes et il sera statué dans un seul arrêt.</w:t>
      </w:r>
    </w:p>
    <w:p>
      <w:r>
        <w:rPr>
          <w:b/>
        </w:rPr>
        <w:t>E. 2</w:t>
      </w:r>
    </w:p>
    <w:p>
      <w:r>
        <w:t>Les recours - déposés en temps utile ( art. 100 al. 1 LTF ) - sont dirigés contre une décision prise en dernière instance cantonale ( art. 80 LTF ) dans le cadre du refus du Ministère public d'autoriser A.________, avocat de l'épouse de B.________, à représenter également ce dernier. Ils sont donc en principe recevables comme recours en matière pénale au sens de l' art. 78 ss LTF (arrêt 1B_420/2011 du 21 novembre 2011 consid. 1.1).</w:t>
      </w:r>
    </w:p>
    <w:p>
      <w:r>
        <w:t>La décision relative à l'interdiction de procéder constitue une décision incidente (arrêts 4A_140/2013 du 4 juillet 2013 consid. 1.1; 1B_420/2011 du 21 novembre 2011 consid. 1.2). Il appartient donc aux recourants d'alléguer les faits permettant de démontrer l'existence d'un préjudice irréparable au sens de l' art. 93 al. 1 let. a LTF lorsque celui-ci n'est pas d'emblée évident (cf. art. 42 al. 2 LTF ; ATF 138 III 46 consid. 1.2 p. 47 et les arrêts cités); l'hypothèse prévue à l' art. 93 al. 1 let. b LTF n'est manifestement pas réalisée en l'occurrence. Les mémoires de recours ne contiennent aucune information à ce sujet. Cependant, l'existence d'un préjudice irréparable doit être admise pour les deux recourants qui se voient privés définitivement, pour l'avocat recourant, de défendre son client dans la procédure pénale ouverte à l'encontre de ce dernier et, pour le mandant recourant, de choisir le premier en tant qu'avocat.</w:t>
      </w:r>
    </w:p>
    <w:p>
      <w:r>
        <w:t>Destinataires de la décision attaquée, les deux recourants disposent également de la qualité pour recourir ( art. 81 al. 1 let. a et b LTF ), puisqu'ils se prévalent en substance du droit de l'avocat de défendre plusieurs prévenus dans une même procédure pénale en l'absence - alléguée - de tout conflit d'intérêts (cf. art. 127 al. 3 CPP et 12 let. c de la loi fédérale du 23 juin 2000 sur la libre circulation des avocats [LLCA; RS 935.61]).</w:t>
      </w:r>
    </w:p>
    <w:p>
      <w:r>
        <w:t>Partant, il y a lieu d'entrer en matière.</w:t>
      </w:r>
    </w:p>
    <w:p>
      <w:r>
        <w:rPr>
          <w:b/>
        </w:rPr>
        <w:t>E. 3</w:t>
      </w:r>
    </w:p>
    <w:p>
      <w:r>
        <w:t>Les recourants reprochent à la cour cantonale d'avoir considéré qu'il existerait un risque concret de conflit d'intérêts entre les époux B.________ et C.________ et que dès lors, le couple ne pourrait pas être représenté par le même avocat.</w:t>
      </w:r>
    </w:p>
    <w:p>
      <w:r>
        <w:rPr>
          <w:b/>
        </w:rPr>
        <w:t>E. 3.1</w:t>
      </w:r>
    </w:p>
    <w:p>
      <w:r>
        <w:t>A teneur de l' art. 127 al. 3 CPP , un conseil juridique peut défendre dans la même procédure les intérêts de plusieurs participants à la procédure dans les limites de la loi et des règles de sa profession. La défense des prévenus étant réservée aux avocats ( art. 127 al. 5 CPP ), les règles à respecter en l'espèce sont celles qui ressortent de la LLCA. Il s'agit en particulier de la règle énoncée à l' art. 12 let . c LLCA, qui commande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134 II 108 consid. 3 p. 109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135 II 145 consid. 9.1 p. 154 s.; arrêts 1B_376/2013 du 18 novembre 2013 consid. 3; 1B_420/2011 du 21 novembre 2011 consid. 1.2.2; 2C_688/2009 du 25 mars 2010 consid. 3.1 in SJ 2010 I p. 433).</w:t>
      </w:r>
    </w:p>
    <w:p>
      <w:r>
        <w:t>Les règles susmentionnées visent avant tout à protéger les intérêts des clients de l'avocat, en leur garantissant une défense exempte de conflit d'intérêts (arrêt 1B_420/2011 du 21 novembre 2011 consid. 1.2.2 ).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(arrêt 1B_376/2013 du 18 novembre 2013 consid. 3).</w:t>
      </w:r>
    </w:p>
    <w:p>
      <w:r>
        <w:rPr>
          <w:b/>
        </w:rPr>
        <w:t>E. 3.2</w:t>
      </w:r>
    </w:p>
    <w:p>
      <w:r>
        <w:t>Se référant à la position occupée par les époux B.________ et C.________ dans l'entreprise mise en faillite (possibles organes de fait), ainsi qu'à l'éventuel niveau d'implication et de responsabilité de l'épouse dans les infractions qui leur sont reprochées, la cour cantonale a estimé que la ligne de défense de l'un des conjoints influençait sur celle suivie par l'autre. Elle a donc retenu l'existence d'un risque concret de conflit d'intérêts entre B.________ et sa femme; le mandataire de l'un des époux n'était par conséquent pas à même d'assurer une défense entièrement libre de l'autre.</w:t>
      </w:r>
    </w:p>
    <w:p>
      <w:r>
        <w:t>Ce raisonnement ne prête pas le flanc à la critique. Il vaut d'autant plus que les recourants ont parfaitement identifié le possible conflit d'intérêts qui pourrait découler en l'espèce de la double représentation, soit que les époux se rejettent à un moment donné la faute l'un sur l'autre (cf. ad 3/c des mémoires). L'avocat recourant en avait d'ailleurs conscience dès le début de la procédure puisqu'il avait requis l'avis du Ministère public à ce propos (cf. son interpellation du 27 juin 2014). Dès lors qu'un risque concret de conflit d'intérêts existe, il ne se justifie pas d'attendre que la situation conflictuelle se réalise effectivement - ainsi que semblent le prétendre les recourants (cf. ad 3/c des mémoires) - pour mettre un terme au mandat de défense assuré par A.________ en faveur de B.________.</w:t>
      </w:r>
    </w:p>
    <w:p>
      <w:r>
        <w:t>Une telle conclusion découle également des déclarations de l'épouse du recourant telles que rapportées dans les mémoires de recours (cf. ad 2/b desdits actes). Ainsi, C.________ aurait déclaré ne pas être "très au courant de la gestion" d'une des sociétés dont les fonds avaient été séquestrés; ce faisant, elle tente - dans l'hypothèse où ses actes seraient constitutifs d'une infraction - de diminuer, voire d'exclure sa propre responsabilité. Cette manière de procéder - qui n'est pas en soi illégitime - implique cependant, certes implicitement, qu'un tiers aurait commis les actes éventuellement délictueux qui lui sont reprochés; or, son mari est l'un des co-prévenus dans cette procédure. L'avocat de l'époux doit pouvoir réagir sur ces questions - aggravation de l'éventuelle responsabilité de son mandant - sans être influencé par le possible impact de la ligne de défense choisie pour le premier mandant sur celle envisagée pour le second client. Dès lors que les recourants savent déjà quel mandat sera poursuivi et lequel sera résilié - soit celui relatif à B.________ (cf. ad 3/c des mémoires de recours) -, la garantie d'indépendance nécessaire à la bonne exécution du mandat de défense du susmentionné n'est pas assurée.</w:t>
      </w:r>
    </w:p>
    <w:p>
      <w:r>
        <w:t>Par conséquent, l'Autorité de recours en matière pénale n'a pas violé le droit fédéral en confirmant la décision du Ministère public interdisant à B.________ de se faire représenter par le même avocat que son épouse.</w:t>
      </w:r>
    </w:p>
    <w:p>
      <w:r>
        <w:rPr>
          <w:b/>
        </w:rPr>
        <w:t>E. 4</w:t>
      </w:r>
    </w:p>
    <w:p>
      <w:r>
        <w:t>Il s'ensuit que les recours sont rejetés.</w:t>
      </w:r>
    </w:p>
    <w:p>
      <w:r>
        <w:t>Les recourants, qui succombent, supportent solidairement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