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356/2012 vom 22. Juni 2012</w:t>
      </w:r>
    </w:p>
    <w:p>
      <w:r>
        <w:t>Bundesgericht, 2012-06-22, FR</w:t>
      </w:r>
    </w:p>
    <w:p>
      <w:r>
        <w:rPr>
          <w:b/>
        </w:rPr>
        <w:t xml:space="preserve">Quelle: </w:t>
      </w:r>
      <w:r>
        <w:t>https://mcp.opencaselaw.ch/entscheid/bger_1B_356_2012</w:t>
      </w:r>
    </w:p>
    <w:p>
      <w:r>
        <w:t>FR: TF 1B 356/2012 du 22 juin 2012</w:t>
      </w:r>
    </w:p>
    <w:p>
      <w:r>
        <w:t>IT: TF 1B 356/2012 del 22 giugno 2012</w:t>
      </w:r>
    </w:p>
    <w:p>
      <w:pPr>
        <w:pStyle w:val="Heading2"/>
      </w:pPr>
      <w:r>
        <w:t>Regeste</w:t>
      </w:r>
    </w:p>
    <w:p>
      <w:r>
        <w:t>procédure pénale; disjonction de causes | Procédure pénale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Ministère public central du canton de Vaud, Division entraide, criminalité économique et informatique, instruit une enquête pénale à l'encontre de X.________ et de Z.________ pour diffamation, subsidiairement calomnie, menaces et contrainte, à la suite d'une plainte déposée par Y.________ le 28 février 2011. Par ordonnance du 14 mars 2012, il a ordonné la disjonction du cas de Z.________ de celui de X.________, dit que le cas de la première nommée sera repris dans le cadre d'une enquête séparée dès la décision de disjonction définitive et exécutoire, et suspendu l'instruction menée contre Z.________ jusqu'au 15 juin 2012. La Chambre des recours pénale du Tribunal cantonal du canton de Vaud a confirmé cette ordonnance au terme d'un arrêt rendu le 10 avril 2012 sur recours de X.________. Par acte du 13 juin 2012, X.________ a déposé un recours en matière pénale contre cet arrêt auprès du Tribunal fédéral, au terme duquel il conclut à l'admission de celui-là dans la mesure où il est recevable et au renvoi de la cause à l'autorité inférieure pour nouvelle décision. Il requiert l'assistance judiciaire. Il n'a pas été ordonné d'échange d'écritures.</w:t>
      </w:r>
    </w:p>
    <w:p>
      <w:r>
        <w:rPr>
          <w:b/>
        </w:rPr>
        <w:t>E. 2</w:t>
      </w:r>
    </w:p>
    <w:p>
      <w:r>
        <w:t>Le Tribunal fédéral examine d'office et librement la recevabilité des recours qui lui sont soumis. L'arrêt attaqué ne met pas fin à la procédure pénale ouverte contre le recourant et revêt un caractère incident. S'agissant d'une décision qui n'entre pas dans le champ d'application de l' art. 92 LTF , il ne peut faire l'objet d'un recours en matière pénale au Tribunal fédéral que s'il est susceptible de causer un préjudice irréparable ( art. 93 al. 1 let. a LTF ) ou si l'admission du recours peut conduire immédiatement à une décision finale qui permet d'éviter une procédure probatoire longue et coûteuse ( art. 93 al. 1 let. b LTF ). Cette dernière hypothèse n'entre pas en considération en l'espèce. Quant à l' art. 93 al. 1 let. a LTF , il suppose, en matière pénale, que la partie recourante soit exposée à un dommage de nature juridique, qui ne puisse pas être réparé ultérieurement par un jugement final ou une autre décision qui lui serait favorable ( ATF 137 IV 172 consid. 2.1 p. 173). Il incombe à la partie recourante d'alléguer et d'établir la possibilité que la décision préjudicielle ou incidente lui cause un tel dommage ( ATF 134 III 426 consid. 1.2 p. 429), à moins que celui-ci ne fasse d'emblée aucun doute (arrêt 8C_473/2009 du 3 août 2009 consid. 4.3.1 in SJ 2010 I p. 37). Le recourant ne se prononce pas sur cette question. L'existence d'un préjudice irréparable n'est au surplus pas manifeste. La disjonction de procédures prévue à l' art. 30 al. 1 CPP porte en effet sur une question préjudicielle que les parties peuvent soulever à l'ouverture des débats en vertu de l' art. 339 al. 2 CPP . Le recourant aura ainsi l'occasion, dans l'hypothèse où il devait être renvoyé en jugement, de solliciter la jonction de la cause ouverte contre Z.________ avec la sienne et l'ajournement des débats s'il l'estime indispensable. Le recours est ainsi irrecevable au regard de l' art. 93 al. 1 LTF .</w:t>
      </w:r>
    </w:p>
    <w:p>
      <w:r>
        <w:rPr>
          <w:b/>
        </w:rPr>
        <w:t>E. 3</w:t>
      </w:r>
    </w:p>
    <w:p>
      <w:r>
        <w:t>La cause d'irrecevabilité étant manifeste, l'arrêt sera rendu selon la procédure simplifiée prévue par l' art. 108 al. 1 let. a LTF . Les conclusions du recourant étant vouées à l'échec, il convient de rejeter la demande d'assistance judiciaire ( art. 64 al. 1 LTF ). Etant donné les circonstances, l'arrêt sera rendu sans frais ( art. 66 al. 1 2 ème phrase LTF). Il n'y a pas lieu d'allouer des dépens. Par ces motifs, le Juge présidant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