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355/2019 vom 31. Juli 2019</w:t>
      </w:r>
    </w:p>
    <w:p>
      <w:r>
        <w:t>Bundesgericht, 2019-07-31, FR</w:t>
      </w:r>
    </w:p>
    <w:p>
      <w:r>
        <w:rPr>
          <w:b/>
        </w:rPr>
        <w:t xml:space="preserve">Quelle: </w:t>
      </w:r>
      <w:r>
        <w:t>https://mcp.opencaselaw.ch/entscheid/bger_1B_355_2019</w:t>
      </w:r>
    </w:p>
    <w:p>
      <w:r>
        <w:t>FR: TF 1B 355/2019 du 31 juillet 2019</w:t>
      </w:r>
    </w:p>
    <w:p>
      <w:r>
        <w:t>IT: TF 1B 355/2019 del 31 luglio 2019</w:t>
      </w:r>
    </w:p>
    <w:p>
      <w:pPr>
        <w:pStyle w:val="Heading2"/>
      </w:pPr>
      <w:r>
        <w:t>Regeste</w:t>
      </w:r>
    </w:p>
    <w:p>
      <w:r>
        <w:t>Détention provisoire | Procédure pénale</w:t>
      </w:r>
    </w:p>
    <w:p>
      <w:pPr>
        <w:pStyle w:val="Heading2"/>
      </w:pPr>
      <w:r>
        <w:t>Erwägungen</w:t>
      </w:r>
    </w:p>
    <w:p>
      <w:r>
        <w:rPr>
          <w:b/>
        </w:rPr>
        <w:t>E. 1</w:t>
      </w:r>
    </w:p>
    <w:p>
      <w:r>
        <w:t>Le recours en matière pénale est ouvert contre une décision relative à la détention provisoire au sens des art. 212 ss CPP nonobstant son caractère incident ( ATF 137 IV 22 consid. 1 p. 23). Selon l'art. 81 al. 1 let. a et b ch. 1 LTF, le recourant, prévenu détenu, a qualité pour recourir. Le recours a été formé en temps utile ( art. 100 al. 1 LTF ) contre une décision rendue par une autorité statuant en tant que dernière instance cantonale ( art. 80 al. 1 LTF ) et les conclusions présentées sont recevables au regard de l' art. 107 al. 2 LTF . Il y a donc lieu d'entrer en matière.</w:t>
      </w:r>
    </w:p>
    <w:p>
      <w:r>
        <w:rPr>
          <w:b/>
        </w:rPr>
        <w:t>E. 2</w:t>
      </w:r>
    </w:p>
    <w:p>
      <w:r>
        <w:t>Une mesure de détention préventive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un risque de fuite, un danger de collusion ou de réitération (art. 221 al. 1 let. a, b et c CPP). Préalablement à l'examen de ces hypothèses, il doit exister à l'égard de l'intéressé des charges suffisantes, soit de sérieux soupçons de culpabilité ( art. 221 al. 1 CPP ; ATF 139 IV 186 consid. 2 p. 187 s.).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p. 333; 143 IV 316 consid. 3.1 et 3.2 p. 318 s.). En tout état de cause, la détention avant jugement ne doit pas durer plus longtemps que la peine privative de liberté prévisible ( art. 212 al. 3 CPP ).</w:t>
      </w:r>
    </w:p>
    <w:p>
      <w:r>
        <w:rPr>
          <w:b/>
        </w:rPr>
        <w:t>E. 3</w:t>
      </w:r>
    </w:p>
    <w:p>
      <w:r>
        <w:t>Dans un premier grief intitulé " violation du droit d'être entendu et arbitraire ", le recourant soulève pêle-mêle divers moyens dans une argumentation parfois difficilement compréhensible. Il reproche à l'instance précédente d'avoir tenu des constatations contradictoires et d'avoir ainsi refusé la mesure d'instruction requise.</w:t>
      </w:r>
    </w:p>
    <w:p>
      <w:r>
        <w:rPr>
          <w:b/>
        </w:rPr>
        <w:t>E. 3.1</w:t>
      </w:r>
    </w:p>
    <w:p>
      <w:r>
        <w:t>Le droit d'être entendu garanti par l' art. 29 al. 2 Cst. comprend notamment le droit pour l'intéressé d'obtenir qu'il soit donné suite à ses offres de preuves pertinentes, lorsque cela est de nature à influer sur la décision à rendre ( ATF 143 III 65 consid. 3.2 p. 67; 142 II 218 consid. 2.3 p. 222 s.).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140 I 285 consid. 6.3.1 p. 299). Ce refus d'instruire ne viole ainsi le droit d'être entendu des parties que si l'appréciation anticipée de la pertinence du moyen de preuve offert, à laquelle le juge a procédé, est entachée d'arbitraire ( ATF 141 I 60 consid. 3.3 p. 64 et les références citées). 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il ne suffit pas que sa motivation soit insoutenable; il faut encore que cette décision apparaisse arbitraire dans son résultat ( ATF 144 I 318 consid. 5.4 p. 326 s. et les références). Enfin, le grief d'arbitraire doit être invoqué et motivé de manière précise; à défaut, le grief est irrecevable ( art. 106 al. 2 LTF ; cf. ATF 142 III 364 consid. 2.4 p. 368 et les références citées).</w:t>
      </w:r>
    </w:p>
    <w:p>
      <w:r>
        <w:rPr>
          <w:b/>
        </w:rPr>
        <w:t>E. 3.2</w:t>
      </w:r>
    </w:p>
    <w:p>
      <w:r>
        <w:t>Le recourant soutient tout d'abord que l'instance précédente aurait retenu des constatations contradictoires et affirme qu'aucun élément du dossier, hormis les déclarations contestées de la plaignante, ne permettrait de retenir qu'il se serait rendu coupable d'infraction à l'intégrité sexuelle. Cette critique, pour autant qu'elle soit recevable, peut d'emblée être écartée. En effet, quoi qu'en dise le recourant, la cour cantonale a clairement retenu qu'il existait des soupçons suffisants de culpabilité à son encontre également s'agissant de l'infraction de contrainte sexuelle, renvoyant sur ce point aux considérants de son arrêt du 28 mars 2019 (cf. arrêt entrepris, consid. 3.3). Le Tribunal cantonal avait alors constaté que les déclarations de la plaignante apparaissaient crédibles et qu'un témoin voisin de chambre du couple avait déclaré qu'il avait dû intervenir à une occasion car le prévenu tentait d'étrangler sa compagne et qu'il avait entendu à deux ou trois reprises, depuis sa chambre, le couple entretenir des relations sexuelles que la plaignante ne souhaitait apparemment pas; le Tribunal cantonal relevait également dans son arrêt du 28 mars 2019 que les éléments du dossier relatifs aux agissements du prévenu envers son ex-épouse confirmaient l'accusation de la plaignante sur la propension de celui-ci à la violence envers ses compagnes. A l'instar de l'instance précédente, il y a lieu de considérer que ces éléments - auxquels s'ajoutent des antécédents judiciaires notamment pour agression (condamnation du 8 février 2017) - constituent des indices suffisants de culpabilité s'agissant également de l'infraction de contrainte sexuelle. Contrairement à ce qu'affirme le recourant, les soupçons à son encontre ne résultent donc pas exclusivement des déclarations de la victime. Enfin, le recourant prétend également à tort que la cour cantonale aurait retenu qu'il était forclos pour contester cette infraction.</w:t>
      </w:r>
    </w:p>
    <w:p>
      <w:r>
        <w:rPr>
          <w:b/>
        </w:rPr>
        <w:t>E. 3.3</w:t>
      </w:r>
    </w:p>
    <w:p>
      <w:r>
        <w:t>Le recourant reproche ensuite à l'instance précédente d'avoir violé son droit d'être entendu en refusant la mesure d'instruction requise, et par voie de conséquence, la possibilité de mettre en oeuvre des mesures de substitution. Il affirme qu'une thérapie serait déjà en cours et qu'il aurait de longue date offert de la continuer en dehors de la prison. Dans l'arrêt entrepris, le Tribunal cantonal a exposé les raisons pour lesquelles il considérait que la mesure d'instruction requise par le recourant tendant à l'établissement d'un certificat médical par le Service de médecine et psychiatrie pénitentiaires (SMPP) au sujet de son suivi psychiatrique actuel n'était pas nécessaire. Le Tribunal cantonal ayant procédé à l'examen anticipé du moyen de preuve demandé par le recourant, celui-ci devait démontrer, conformément aux exigences accrues de motivation rappelées ci-dessus, en quoi cette appréciation serait arbitraire. Or, le grief du recourant ne contient aucune démonstration de ce type. L'intéressé se contente en effet d'affirmer de manière appellatoire que la question du suivi thérapeutique - dont il ne donne au demeurant aucune indication sur les modalités d'exécution - devait être instruite. Son grief est donc irrecevable. Quoi qu'il en soit, pour les motifs exposés ci-après (cf. consid. 4), il n'était pas insoutenable de renoncer à cette mesure d'instruction.</w:t>
      </w:r>
    </w:p>
    <w:p>
      <w:r>
        <w:rPr>
          <w:b/>
        </w:rPr>
        <w:t>E. 4</w:t>
      </w:r>
    </w:p>
    <w:p>
      <w:r>
        <w:t>Invoquant une violation du principe de la proportionnalité, le recourant soutient que des mesures de substitution permettraient de réduire le risque de récidive retenu. Il affirme également que la durée de sa détention serait disproportionnée, dès lors que l'infraction de contrainte sexuelle ne pourrait être retenue à son encontre.</w:t>
      </w:r>
    </w:p>
    <w:p>
      <w:r>
        <w:rPr>
          <w:b/>
        </w:rPr>
        <w:t>E. 4.1</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w:t>
      </w:r>
    </w:p>
    <w:p>
      <w:r>
        <w:rPr>
          <w:b/>
        </w:rPr>
        <w:t>E. 4.2</w:t>
      </w:r>
    </w:p>
    <w:p>
      <w:r>
        <w:t>Le recourant semble tout d'abord contester, dans une argumentation peu claire, le risque de récidive retenu par l'instance précédente. Cette critique peut d'emblée être rejetée. En effet, au vu des antécédents judiciaires encore récents du recourant (notamment injure, menaces et agression) ainsi que des conclusions de l'expertise - selon lesquelles ce dernier présentait un risque élevé de récidive notamment pour des violences physiques et sexuelles à l'encontre de ses compagnes -, l'appréciation de l'instance précédente n'apparaît pas critiquable. L'instance précédente a ensuite considéré que les mesures de substitution proposées par le recourant n'étaient pas propres à écarter le risque de récidive. En particulier, elle a considéré que, quand bien même ce dernier aurait récemment débuté un suivi psychothérapeutique et quand bien même il y adhérerait, il était manifeste qu'un tel suivi ne pourrait avoir un effet tant soit peu significatif sur le risque de récidive que sur le moyen ou le long terme; il était évident, selon l'instance précédente, qu'un tel traitement n'était pas de nature à prévenir immédiatement et efficacement le risque de récidive redouté, ce qui justifiait le maintien du recourant en détention provisoire. L'appréciation de l'instance précédente ne prête par le flanc à la critique. En effet, la seule mise en place du traitement préconisé par les experts ne saurait, en l'espèce, conduire aussitôt à la libération du prévenu. Une telle libération entre d'autant moins en considération que les experts ont indiqué dans leur rapport que, même si ce traitement était mis en place, les chances de succès resteraient relatives notamment au vu des faibles capacités d'introspection du recourant et de sa tendance à projeter la responsabilité de ses délits sur le monde extérieur (cf. rapport d'expertise du 9 janvier 2019 p. 16 s.). Enfin, les autres mesures proposées (contrôle hebdomadaire de l'abstinence à l'alcool et aux stupéfiants; dépôt de son passeport; contrôle hebdomadaire auprès d'un poste de police) ne sont en l'état pas suffisantes pour pallier tout risque de réitération.</w:t>
      </w:r>
    </w:p>
    <w:p>
      <w:r>
        <w:rPr>
          <w:b/>
        </w:rPr>
        <w:t>E. 4.3</w:t>
      </w:r>
    </w:p>
    <w:p>
      <w:r>
        <w:t>Le recourant reproche enfin en vain à l'instance précédente d'avoir considéré que la durée de la détention subie - soit douze mois au terme de la prolongation ordonnée par le Tmc - n'était pas excessive. En effet, sa critique est fondée sur la prémisse erronée que les soupçons concernant l'infraction de contrainte sexuelle ne seraient pas suffisants. Or, cette infraction est à elle seule passible d'une peine privative de liberté de 10 ans au plus ( art. 189 al. 1 CP ). Compte tenu de la gravité des faits reprochés au recourant - qui ne se limitent pas à ceux de la contrainte sexuelle - et de ses nombreux antécédents, la durée de la détention avant jugement subie à ce jour est encore largement compatible avec la peine encourue concrètement en cas de condamnation. De plus, quoi qu'en pense le recourant, il n'y a pas lieu de tenir compte de la possibilité éventuelle de l'octroi d'une libération conditionnelle par l'autorité de jugement, dès lors que cette hypothèse n'apparaît pas d'emblée évidente en l'espèce (cf. arrêts 1B_250/2019 du 14 juin 2019 consid. 5.1 et 5.2.2; 1B_82/2013 du 27 mars 2013 consid. 3.2 in Pra 2013 74 54; cf. ATF 143 IV 168 consid. 5.1 p. 173). Enfin, il ne semble pas que la détention doive se prolonger au-delà de la durée admissible dans la mesure où le Ministère public a, dans sa demande de prolongation de la détention provisoire du 6 mai 2019, annoncé la prochaine clôture de l'instruction.</w:t>
      </w:r>
    </w:p>
    <w:p>
      <w:r>
        <w:rPr>
          <w:b/>
        </w:rPr>
        <w:t>E. 4.4</w:t>
      </w:r>
    </w:p>
    <w:p>
      <w:r>
        <w:t>Partant, le grief de violation du principe de proportionnalité peut être écarté.</w:t>
      </w:r>
    </w:p>
    <w:p>
      <w:r>
        <w:rPr>
          <w:b/>
        </w:rPr>
        <w:t>E. 5</w:t>
      </w:r>
    </w:p>
    <w:p>
      <w:r>
        <w:t>Le recours doit par conséquent être rejeté dans la mesure où il est recevable. Les conclusions du recourant étant vouées à l'échec, la demande d'assistance judiciaire sera rejetée ( art. 64 al. 1 LTF ). A titre exceptionnel, il est renoncé à percevoir des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