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355/2018 vom 13. August 2018</w:t>
      </w:r>
    </w:p>
    <w:p>
      <w:r>
        <w:t>Bundesgericht, 2018-08-13, DE</w:t>
      </w:r>
    </w:p>
    <w:p>
      <w:r>
        <w:rPr>
          <w:b/>
        </w:rPr>
        <w:t xml:space="preserve">Quelle: </w:t>
      </w:r>
      <w:r>
        <w:t>https://mcp.opencaselaw.ch/entscheid/bger_1B_355_2018</w:t>
      </w:r>
    </w:p>
    <w:p>
      <w:r>
        <w:t>FR: TF 1B 355/2018 du 13 août 2018</w:t>
      </w:r>
    </w:p>
    <w:p>
      <w:r>
        <w:t>IT: TF 1B 355/2018 del 13 agosto 2018</w:t>
      </w:r>
    </w:p>
    <w:p>
      <w:pPr>
        <w:pStyle w:val="Heading2"/>
      </w:pPr>
      <w:r>
        <w:t>Regeste</w:t>
      </w:r>
    </w:p>
    <w:p>
      <w:r>
        <w:t>Strafverfahren; unentgeltliche Rechtspflege | Strafprozess</w:t>
      </w:r>
    </w:p>
    <w:p>
      <w:pPr>
        <w:pStyle w:val="Heading2"/>
      </w:pPr>
      <w:r>
        <w:t>Erwägungen</w:t>
      </w:r>
    </w:p>
    <w:p>
      <w:r>
        <w:rPr>
          <w:b/>
        </w:rPr>
        <w:t>E. 1</w:t>
      </w:r>
    </w:p>
    <w:p>
      <w:r>
        <w:t>A.________ hat als Strafkläger gegen die Nichtanhandnahmeverfügung der Regionalen Staatsanwaltschaft Bern-Mittelland im Verfahren gegen Fürsprecher B.________ beim Obergericht des Kantons Bern Beschwerde erhoben. Am 7. Juni 2018 forderte das Obergericht A.________ auf, für das Beschwerdeverfahren eine Sicherheit von Fr. 600.-- zu leisten. Daraufhin stellte A.________ am 16. Juni 2018 ein Gesuch um unentgeltliche Rechtspflege. Das Obergericht wies das Gesuch am 19. Juni 2018 ab und setzte A.________ 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Der Umstand, dass Fürsprecher B.________ gegen den Beschwerdeführer eine Strafanzeige wegen übler Nachrede, evtl. Verleumdung, eingereicht habe, begründe gegen den Anwalt keinen Anfangsverdacht auf eine strafbare Handlung. Mit Eingabe vom 19. Juli 2018 erhebt A.________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wiedergutzumachenden Nachteil erleidet, noch inwiefern er zur Beschwerde legitimiert sein könnte. Beides ist auch nicht ersichtlich. Der Beschwerdeführer führt im Gegenteil aus, er würde die Klage gegen den Beschwerdegegner selbstverständlich auch selber finanzieren, da deren Sinn ja nicht darin bestehe, Geld zu sparen, sondern Gerechtigkeit zu erlangen. Ist er aber somit nach eigenen Angaben in der Lage, den Prozess zu finanzieren, droht ihm durch die angefochtene Kostenvorschussverfügung kein nicht wiedergutzumachender Nachteil. In der Sache hat die Beschwerdekammerpräsidentin zu Recht ausgeführt, dass die Einreichung einer Strafanzeige nicht strafbar sei. Der Beschwerdeführer führt zwar aus, sie habe seine Strafanzeige falsch bzw. nicht vollständig wiedergegeben, er habe den Beschwerdegegner wegen Vortäuschung falscher Tatsachen und Handels mit unrechtmässigen Ehrverletzungsklagen beim Prozess gegen C.________ angezeigt. Aus diesen Ausführungen ergibt sich indessen nicht, durch welche konkrete Handlungen sich der Beschwerdegegner strafbar gemacht haben könnte; sie sind mithin nicht geeignet nachzuweisen, dass die Beschwerdekammerpräsidentin unter Verletzung von Bundesrecht das Vorliegen eines Anfangsverdachts verneint haben könnte. Das Gleiche gilt für die Kritik an der Amtsführung der Gerichtspräsidentin Bochsler, die im vorliegenden Zusammenhang an der Sache vorbeigeht.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