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1B_355/2015 vom 28. April 2016</w:t>
      </w:r>
    </w:p>
    <w:p>
      <w:r>
        <w:t>Bundesgericht, 2016-04-28, DE</w:t>
      </w:r>
    </w:p>
    <w:p>
      <w:r>
        <w:rPr>
          <w:b/>
        </w:rPr>
        <w:t xml:space="preserve">Quelle: </w:t>
      </w:r>
      <w:r>
        <w:t>https://mcp.opencaselaw.ch/entscheid/bger_1B_355_2015</w:t>
      </w:r>
    </w:p>
    <w:p>
      <w:r>
        <w:t>FR: TF 1B_355/2015 du 28 avril 2016</w:t>
      </w:r>
    </w:p>
    <w:p>
      <w:r>
        <w:t>IT: TF 1B_355/2015 del 28 aprile 2016</w:t>
      </w:r>
    </w:p>
    <w:p>
      <w:pPr>
        <w:pStyle w:val="Heading2"/>
      </w:pPr>
      <w:r>
        <w:t>Erwägungen</w:t>
      </w:r>
    </w:p>
    <w:p>
      <w:r>
        <w:rPr>
          <w:b/>
        </w:rPr>
        <w:t>E. 1</w:t>
      </w:r>
    </w:p>
    <w:p>
      <w:r>
        <w:t>Die Beschwerden in den Verfahren 1B_355/2015 und 1B_358/2015 betreffen die gleiche Verfügung, nehmen Bezug auf den gleichen Sachverhalt und werfen die gleichen Rechtsfragen auf. Es rechtfertigt sich, die beiden Verfahren zu vereinigen.</w:t>
      </w:r>
    </w:p>
    <w:p>
      <w:r>
        <w:rPr>
          <w:b/>
        </w:rPr>
        <w:t>E. 2</w:t>
      </w:r>
    </w:p>
    <w:p>
      <w:r>
        <w:t>Die angefochtene Verfügung des Haftgerichts ist ein kantonal letztinstanzlicher Zwischenentscheid. Er ist geeignet, einen nicht wieder gutzumachenden Nachteil im Sinne von Art. 93 Abs. 1 lit. a BGG zu bewirken, zumal im Entsiegelungsverfahren geschützte Geheimnisrechte ausreichend substanziiert wurden (vgl. BGE 141 IV 289 E. 1.3 S. 292; Urteil 1B_273/2015 vom 21. Januar 2016 E. 1.2 f.). Gegen ihn steht grundsätzlich die Beschwerde in Strafsachen offen (vgl. Art. 78 Abs. 1 sowie Art. 80 Abs. 1 und 2 BGG i.V.m. Art. 248 Abs. 3 und Art. 380 StPO ). A.________ (Beschwerdeführer 1) und B.________ (Beschwerdeführerin 2), welche als Arzt bzw. als dessen Hilfsperson vorbringen, die Aufzeichnungen im sichergestellten braunen Notizbuch unterstünden dem ärztlichen Berufsgeheimnis, haben am vorinstanzlichen Verfahren teilgenommen und sind als beschuldigte Personen beschwerdelegitimiert (vgl. Art. 81 Abs. 1 BGG ). Auf die Beschwerden ist vorbehältlich zulässiger und genügend begründeter Rügen (vgl. Art. 95 i.V.m. Art. 42 Abs. 2 und Art. 106 Abs. 2 BGG ) grundsätzlich einzutreten.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3.2</w:t>
      </w:r>
    </w:p>
    <w:p>
      <w:r>
        <w:t>Die von der Staatsanwaltschaft erst im Verfahren vor Bundesgericht eingereichten Beilagen sind für den vorliegenden Entscheid unbeachtlich (vgl. Art. 99 Abs. 1 BGG ).</w:t>
      </w:r>
    </w:p>
    <w:p>
      <w:r>
        <w:rPr>
          <w:b/>
        </w:rPr>
        <w:t>E. 3.3</w:t>
      </w:r>
    </w:p>
    <w:p>
      <w:r>
        <w:t>Die Beschwerdeführer rügen, die Vorinstanz habe den Sachverhalt unrichtig festgestellt. Sie bringen vor, die Vorinstanz habe zur Begründung eines hinreichenden Tatverdachts auf eine ausgestrahlte Fernsehsendung abgestellt, was nicht zulässig sei, weil diese auf der verdeckten Recherche eines Journalisten beruhe. Darauf ist nicht weiter einzugehen, weil die aus der Fernsehsendung gewonnenen Informationen für den Ausgang des vorliegenden Verfahrens nicht wesentlich sind (vgl. E. 6.1 nachfolgend).</w:t>
      </w:r>
    </w:p>
    <w:p>
      <w:r>
        <w:t>Die Beschwerdeführerin 2 macht zudem geltend, die Vorinstanz habe in Verletzung ihres Anspruchs auf rechtliches Gehör zwei von ihr eingereichte Stellungnahmen von Teilnehmern eines laufenden Ausbildungsanlasses nicht berücksichtigt. Dass die Vorinstanz diese Stellungnahmen für ihren Entscheid nicht berücksichtigt hat, ist nicht willkürlich, zumal sich der für den Entscheid wesentliche Sachverhalt in genügender Weise aus den Akten ergab und insbesondere nicht ersichtlich ist, inwiefern die Stellungnahmen zusätzliche entscheidwesentliche Erkenntnisse hätten liefern können (vgl. BGE 141 I 60 E. 3.3 S. 64 mit Hinweis). Soweit die Beschwerdeführerin 2 überhaupt in genügender Weise rügt, mit der Nichtberücksichtigung der Stellungnahmen habe die Vorinstanz Art. 9 bzw. Art. 29 Abs. 2 BV verletzt, vermag sie damit nicht durchzudringen. Die beiden Stellungnahmen, welche die Beschwerdeführerin 2 mit ihrer Beschwerde ans Bundesgericht erneut eingereicht hat, sind auch für den Ausgang des bundesgerichtlichen Verfahrens nicht wesentlich.</w:t>
      </w:r>
    </w:p>
    <w:p>
      <w:r>
        <w:t>Darüber hinaus ist weder substanziiert dargetan noch ersichtlich, inwiefern die Vorinstanz den entscheidwesentlichen Sachverhalt geradezu willkürlich oder im Sinne von Art. 95 BGG rechtsverletzend festgestellt haben soll.</w:t>
      </w:r>
    </w:p>
    <w:p>
      <w:r>
        <w:rPr>
          <w:b/>
        </w:rPr>
        <w:t>E. 4</w:t>
      </w:r>
    </w:p>
    <w:p>
      <w:r>
        <w:t>Die Beschwerdeführer machen geltend, die Vorinstanz habe es in willkürlicher Weise unterlassen, sich vertieft mit ihren Darstellungen auseinanderzusetzen.</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w:t>
      </w:r>
    </w:p>
    <w:p>
      <w:r>
        <w:t>Diesen Anforderungen genügt der angefochtene Entscheid. Die Beschwerdeführer konnten sich über die Tragweite des vorinstanzlichen Entscheids Rechenschaft geben und ihn in voller Kenntnis der Sache an das Bundesgericht weiterziehen. Soweit sie eine Verletzung der aus Art. 29 Abs. 2 BV folgenden Begründungspflicht überhaupt in genügender Weise rügen, dringen sie damit nicht durch. Inwiefern Art. 9 BV in diesem Zusammenhang eine über Art. 29 Abs. 2 BV hinausgehende Bedeutung haben sollte, ist weder dargetan noch ersichtlich.</w:t>
      </w:r>
    </w:p>
    <w:p>
      <w:r>
        <w:rPr>
          <w:b/>
        </w:rPr>
        <w:t>E. 5.1</w:t>
      </w:r>
    </w:p>
    <w:p>
      <w:r>
        <w:t>Werden bei einer Hausdurchsuchung Schriftstücke oder elektronische Datenträger gefunden, die voraussichtlich der Beschlagnahme ( Art. 263 Abs. 1-2 StPO ) unterliegen, sind die Bestimmungen über die "Durchsuchung von Aufzeichnungen" ( Art. 246-248 StPO ) anwendbar ( BGE 141 IV 77 E. 4.1 f. S. 80 f. mit Hinweisen) : Die Schriftstücke oder elektronischen Datenträger dürfen von der Untersuchungsbehörde grundsätzlich durchsucht werden, wenn zu vermuten ist, dass sich darin Informationen befinden, die der Beschlagnahme unterliegen ( Art. 246 StPO ). Vor einer allfälligen Durchsuchung der Aufzeichnungen kann sich ihre Inhaberin oder ihr Inhaber zu deren Inhalt äussern ( Art. 247 Abs. 1 StPO ). Zur Prüfung des Inhalts der Aufzeichnungen, insbesondere zur Aussonderung von angeblich geheimnisgeschütztem Inhalt, können sachverständige Personen beigezogen werden ( Art. 247 Abs. 2 StPO ).</w:t>
      </w:r>
    </w:p>
    <w:p>
      <w:r>
        <w:rPr>
          <w:b/>
        </w:rPr>
        <w:t>E. 5.2</w:t>
      </w:r>
    </w:p>
    <w:p>
      <w:r>
        <w:t>Macht die Inhaberin oder der Inhaber von Aufzeichnungen oder anderen Gegenständen geltend, diese dürften wegen eines Aussage- oder Zeugnisverweigerungsrechts oder aus anderen Gründen nicht inhaltlich durchsucht oder förmlich beschlagnahmt werden, sind die betreffenden Aufzeichnungen und Gegenstände zu versiegeln. Vor einem allfälligen Entsiegelungsentscheid dürfen sie von den Strafbehörden weder eingesehen noch verwendet werden (Art. 248 Abs. 1 i.V.m. Art. 264 Abs. 3 StPO ).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entgegenstehen (Art. 248 Abs. 2 und Abs. 3 lit. a StPO). Das Gericht kann zur Prüfung des Inhalts der Aufzeichnungen und Gegenstände ebenfalls eine sachverständige Person beiziehen ( Art. 248 Abs. 4 StPO ).</w:t>
      </w:r>
    </w:p>
    <w:p>
      <w:r>
        <w:rPr>
          <w:b/>
        </w:rPr>
        <w:t>E. 5.3</w:t>
      </w:r>
    </w:p>
    <w:p>
      <w:r>
        <w:t>Gegenstände und Unterlagen aus dem Verkehr der beschuldigten Person mit Personen, die nach den Artikeln 170-173 StPO das Zeugnis verweigern können und im gleichen Sachzusammenhang nicht selber beschuldigt sind, dürfen - ungeachtet des Ortes, wo sich die Gegenstände und Unterlagen befinden, und des Zeitpunktes, in welchem sie geschaffen worden sind - nicht beschlagnahmt werden ( Art. 264 Abs. 1 lit. c StPO ). Vorbehalten bleiben Beschlagnahmungen nach Art. 263 Abs. 1 lit. c-d StPO ( Art. 264 Abs. 2 StPO ). Zu den im Strafprozess zu berücksichtigenden Berufsgeheimnissen gehört das Arztgeheimnis. Ärztinnen und Ärzte sowie ihre Hilfspersonen können das Zeugnis über Geheimnisse verweigern, die ihnen aufgrund ihres Berufes anvertraut worden sind oder die sie in dessen Ausübung wahrgenommen haben ( Art. 171 Abs. 1 StPO ). Gemäss Art. 171 Abs. 2 StPO haben Ärztinnen und Ärzte nur auszusagen, wenn sie einer Anzeigepflicht unterliegen (lit. a) oder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rPr>
          <w:b/>
        </w:rPr>
        <w:t>E. 5.4</w:t>
      </w:r>
    </w:p>
    <w:p>
      <w:r>
        <w:t>Strafprozessuale Zwangsmassnahmen setzen überdies voraus, dass ein hinreichender Tatverdacht vorliegt und die streitige Untersuchungshandlung verhältnismässig erscheint ( Art. 197 Abs. 1 lit. b-d StPO ). Der Entsiegelungsrichter hat (auch bei grossen Datenmengen) jene Gegenstände auszusondern, die (nach den substanziierten Angaben der Staatsanwaltschaft bzw. der betroffenen Inhaber) für die Strafuntersuchung offensichtlich irrelevant erscheinen ( BGE 141 IV 77 E. 4.3 S. 81 mit Hinweisen). Entsiegelungen und Durchsuchungen, welche in die Grundrechte nicht beschuldigter Personen eingreifen, sind besonders zurückhaltend einzusetzen ( Art. 197 Abs. 2 StPO ). Jede Person hat insbesondere Anspruch auf Achtung ihres Privat- und Familienlebens und auf Schutz vor Missbrauch ihrer persönlichen Daten ( Art. 13 BV ).</w:t>
      </w:r>
    </w:p>
    <w:p>
      <w:r>
        <w:rPr>
          <w:b/>
        </w:rPr>
        <w:t>E. 6</w:t>
      </w:r>
    </w:p>
    <w:p>
      <w:r>
        <w:t>Die Beschwerdeführer machen geltend, die angefochtene Verfügung sei willkürlich und verletze Bundesrecht, namentlich Art. 246 ff. i.V.m. Art. 264 und Art. 171 sowie Art. 197 StPO . Der Beschwerdeführer 1 rügt ausserdem, die Entsiegelung verletze Art. 13 i.V.m. Art. 36 BV sowie Art. 8 EMRK .</w:t>
      </w:r>
    </w:p>
    <w:p>
      <w:r>
        <w:rPr>
          <w:b/>
        </w:rPr>
        <w:t>E. 6.1</w:t>
      </w:r>
    </w:p>
    <w:p>
      <w:r>
        <w:t>Die Beschwerdeführer bringen zunächst vor, es bestehe kein hinreichender Tatverdacht. Der Tatverdacht beruhe auf der verdeckten Recherche eines Journalisten, deren Berücksichtigung im Strafverfahren nicht zulässig sei.</w:t>
      </w:r>
    </w:p>
    <w:p>
      <w:r>
        <w:t>Wie im weiteren Strafverfahren mit den Erkenntnissen aus der Recherche des Journalisten umzugehen ist, kann vorliegend offenbleiben, weil sich ein hinreichender Verdacht im Sinne von Art. 197 Abs. 1 lit. b StPO , wonach die beschuldigten Personen Vergehen bzw. ev. Verbrechen gegen das Betäubungsmittelgesetz begangen haben, bereits aus der Strafanzeige der Fachstelle für Sektenfragen (InfoSekta) sowie den Aussagen von zwei polizeilich befragten Auskunftspersonen ergibt. Dass die polizeilich befragten Auskunftspersonen zum Zeitpunkt der vorliegend angefochtenen Verfügung von der Staatsanwaltschaft noch nicht selber (als Zeuginnen) befragt worden sind, ändert daran nichts. Es wird Sache des Strafrichters sein, die Aussagen der befragen Auskunftspersonen abschliessend zu würdigen. Jedenfalls liegen aufgrund der bisherigen Untersuchungsergebnisse genügend konkrete Anhaltspunkte für eine Straftat vor, sodass das Haftgericht das Bestehen eines hinreichenden Tatverdachts mit vertretbaren Gründen bejahen durfte.</w:t>
      </w:r>
    </w:p>
    <w:p>
      <w:r>
        <w:rPr>
          <w:b/>
        </w:rPr>
        <w:t>E. 6.2</w:t>
      </w:r>
    </w:p>
    <w:p>
      <w:r>
        <w:t>Die Beschwerdeführer machen weiter geltend, das bei der Beschwerdeführerin 2 gefundene braune Notizbuch dürfe nicht durchsucht werden, weil der Beschwerdeführer 1 als Arzt und die Beschwerdeführerin 2 als seine Hilfsperson dem Berufsgeheimnis unterstünden und insoweit ein Zeugnisverweigerungsrecht hätten.</w:t>
      </w:r>
    </w:p>
    <w:p>
      <w:r>
        <w:t>Der Beschwerdeführer 1 und die Beschwerdeführerin 2 sind im von der Staatsanwaltschaft geführten Strafverfahren selber beschuldigte Personen. Damit bildet ihr Berufsgeheimnis kein absolutes Beschlagnahme- und Entsiegelungshindernis (vgl. Art. 264 Abs. 1 lit. c i.V.m. Abs. 3 StPO sowie BGE 141 IV 77 E. 5.2 S. 83 mit Hinweisen).</w:t>
      </w:r>
    </w:p>
    <w:p>
      <w:r>
        <w:rPr>
          <w:b/>
        </w:rPr>
        <w:t>E. 6.3</w:t>
      </w:r>
    </w:p>
    <w:p>
      <w:r>
        <w:t>Zu prüfen bleibt, ob die von der Vorinstanz angeordnete Entsiegelung des braunen Notizbuchs im Hinblick auf Art. 197 Abs. 1 lit. c und d sowie Abs. 2 StPO verhältnismässig ist.</w:t>
      </w:r>
    </w:p>
    <w:p>
      <w:r>
        <w:t>Wie sich aus der angefochtenen Verfügung ergibt, hat die Vorinstanz die Aufzeichnungen im Notizbuch durchgesehen und geprüft, ob sie für die Strafuntersuchung relevant sein können. Es besteht der Verdacht, dass an den Veranstaltungen, auf welche sich die Aufzeichnungen beziehen, unerlaubte Betäubungsmittel an die Teilnehmer abgegeben worden sind. Die von der Vorinstanz zur Entsiegelung freigegebenen Aufzeichnungen weisen somit einen engen Sachzusammenhang zum Gegenstand der Strafuntersuchung auf und sind für die angestrebten Untersuchungszwecke nicht offensichtlich irrelevant. Unter den Aufzeichnungen befinden sich unter anderem Teilnehmerlisten von Seminaren, welche von den Beschwerdeführern durchgeführt wurden. Damit betreffen die versiegelten Aufzeichnungen (auch) nicht beschuldigte Drittpersonen. Es ist indessen nicht zu beanstanden, dass die Vorinstanz Personen- und Adresslisten, die im Zusammenhang mit solchen Aus- bzw. Weiterbildungsveranstaltungen stehen, nicht als besonders sensible Aufzeichnungen eingestuft hat, zumal die entsprechenden Informationen den Beschwerdeführern nicht im Rahmen eines eigentlichen Arzt-/Patientenverhältnisses anvertraut worden sind. Selbst wenn die Ausbildungsanlässe auch eine therapeutische Komponente gehabt haben sollten, ist dies nicht vergleichbar mit dem intimen Verhältnis, welches üblicherweise zwischen einem Arzt und einem Patienten besteht. Die Patientendossiers, welche sich in der Praxis des Beschwerdeführers befanden, wurden denn von der Staatsanwaltschaft auch nicht sichergestellt.</w:t>
      </w:r>
    </w:p>
    <w:p>
      <w:r>
        <w:t>Die Beschwerdeführer vermögen nicht darzutun, inwiefern die von der Vorinstanz angeordnete Entsiegelung der versiegelten Aufzeichnungen im Sinne von Art. 197 Abs. 1 lit. c und d sowie Abs. 2 StPO unverhältnismässig oder im Sinne von Art. 9 BV willkürlich sein sollte. Weil unter den gegebenen Umständen die Strafverfolgungsinteressen die Persönlichkeitsrechte der nicht beschuldigten Drittpersonen überwiegen, ist die Vorinstanz richtigerweise zum Schluss gekommen, dass das braune Notizbuch von der Staatsanwaltschaft durchsucht werden darf.</w:t>
      </w:r>
    </w:p>
    <w:p>
      <w:r>
        <w:rPr>
          <w:b/>
        </w:rPr>
        <w:t>E. 6.4</w:t>
      </w:r>
    </w:p>
    <w:p>
      <w:r>
        <w:t>Nichts zu seinen Gunsten ableiten kann der Beschwerdeführer 1 schliesslich aus Art. 13 BV sowie aus Art. 8 EMRK . Die Einschränkung dieser Grundrechte im Rahmen einer Strafuntersuchung ist in der StPO vorgesehen (vgl. E. 5.1 ff. hiervor). Die angeordnete Entsiegelung liegt im öffentlichen Interesse und ist - wie bereits dargelegt - verhältnismässig (vgl. Art. 36 BV ). Die Eingriffsvoraussetzungen gemäss Art. 8 Ziff. 2 EMRK sind ebenfalls erfüllt.</w:t>
      </w:r>
    </w:p>
    <w:p>
      <w:r>
        <w:rPr>
          <w:b/>
        </w:rPr>
        <w:t>E. 7</w:t>
      </w:r>
    </w:p>
    <w:p>
      <w:r>
        <w:t>Nach dem Ausgeführten sind die Beschwerden abzuweisen, soweit darauf einzutreten ist. Bei diesem Ausgang des Verfahrens werden die Beschwerdeführer kostenpflichtig (vgl. Art. 66 Abs. 1 BGG ). Sie beantragen zwar, ihnen sei im Beschwerdeverfahren vor Bundesgericht die amtliche Verteidigung zu belassen, und stellen damit sinngemäss ein Begehren um unentgeltliche Rechtspflege inklusive Verbeiständung im bundesgerichtlichen Verfahren. Dem kann allerdings nicht entsprochen werden, da die Beschwerdeführer nicht darlegen, inwiefern die Voraussetzungen nach Art. 64 Abs. 1 BGG erfüllt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