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353/2020 vom 18. August 2020</w:t>
      </w:r>
    </w:p>
    <w:p>
      <w:r>
        <w:t>Bundesgericht, 2020-08-18, DE</w:t>
      </w:r>
    </w:p>
    <w:p>
      <w:r>
        <w:rPr>
          <w:b/>
        </w:rPr>
        <w:t xml:space="preserve">Quelle: </w:t>
      </w:r>
      <w:r>
        <w:t>https://mcp.opencaselaw.ch/entscheid/bger_1B_353_2020</w:t>
      </w:r>
    </w:p>
    <w:p>
      <w:r>
        <w:t>FR: TF 1B 353/2020 du 18 août 2020</w:t>
      </w:r>
    </w:p>
    <w:p>
      <w:r>
        <w:t>IT: TF 1B 353/2020 del 18 agosto 2020</w:t>
      </w:r>
    </w:p>
    <w:p>
      <w:pPr>
        <w:pStyle w:val="Heading2"/>
      </w:pPr>
      <w:r>
        <w:t>Regeste</w:t>
      </w:r>
    </w:p>
    <w:p>
      <w:r>
        <w:t>Strafverfahren; Entsiegelung | Strafprozess</w:t>
      </w:r>
    </w:p>
    <w:p>
      <w:pPr>
        <w:pStyle w:val="Heading2"/>
      </w:pPr>
      <w:r>
        <w:t>Erwägungen</w:t>
      </w:r>
    </w:p>
    <w:p>
      <w:r>
        <w:rPr>
          <w:b/>
        </w:rPr>
        <w:t>E. 1</w:t>
      </w:r>
    </w:p>
    <w:p>
      <w:r>
        <w:t>Gemäss Art. 54 Abs. 1 BGG wird das bundesgerichtliche Verfahren in einer der Amtssprachen geführt, in der Regel in der Sprache des angefochtenen Entscheids. Von dieser Regel abzuweichen besteht hier kein Grund. Das bundesgerichtliche Urteil ergeht deshalb in deutscher Sprache, auch wenn der Beschwerdeführer die von ihm selbst verfasste Eingabe in französischer Sprache eingereicht hat.</w:t>
      </w:r>
    </w:p>
    <w:p>
      <w:r>
        <w:rPr>
          <w:b/>
        </w:rPr>
        <w:t>E. 2</w:t>
      </w:r>
    </w:p>
    <w:p>
      <w:r>
        <w:t>Gegen das angefochtene Urteil steht gemäss Art. 78 Abs. 1 BGG die Beschwerde in Strafsachen offen. Ein kantonales Rechtsmittel steht nicht zur Verfügung. Die Beschwerde ist nach Art. 248 Abs. 3 lit. a i.V.m. Art. 380 StPO und Art. 80 Abs. 2 BGG zulässig. Der Beschwerdeführer ist gemäss Art. 81 Abs. 1 lit. a und b Ziff. 1 BGG zur Beschwerde berechtigt. Da er rechtlich geschützte Geheimnisinteressen hinreichend substanziiert anruft, kann ihm das angefochtene Urteil einen nicht wieder gutzumachenden Nachteil im Sinne von Art. 93 Abs. 1 lit. a BGG verursachen ( BGE 143 IV 462 E. 1 S. 465; Urteil 1B_85/2019 vom 8. August 2019 E. 2 mit Hinweisen).</w:t>
      </w:r>
    </w:p>
    <w:p>
      <w:r>
        <w:rPr>
          <w:b/>
        </w:rPr>
        <w:t>E. 3.1</w:t>
      </w:r>
    </w:p>
    <w:p>
      <w:r>
        <w:t>Nach Art. 42 Abs. 1 BGG haben Rechtsschriften die Begehren und deren Begründung zu enthalten. Gemäss Art. 42 Abs. 2 BGG ist in der Begründung in gedrängter Form darzulegen, inwiefern der angefochtene Akt Recht verletzt. Der Beschwerdeführer muss sich wenigstens kurz mit den Erwägungen des angefochtenen Entscheids auseinandersetzen. Das Bundesgericht prüft nur klar und detailliert erhobene und, soweit möglich, belegte Rügen ( BGE 138 I 171 E. 1.4 S. 176; 135 III 127 E. 1.6 S. 130; 133 II 249 E. 1.4 S. 254 f.). Es legt seinem Urteil den Sachverhalt zugrunde, den die Vorinstanz festgestellt hat ( Art. 105 Abs. 1 BGG ) und kann deren Sachverhaltsfeststellung nur berichtigen oder ergänzen, wenn sie offensichtlich unrichtig ist oder auf einer Rechtsverletzung im Sinne von Art. 95 BGG beruht ( Art. 97 Abs. 1 und Art. 105 Abs. 2 BGG ; BGE 145 IV 154 E. 1.1 S. 155 f. ; 143 I 310 E. 2.2 S. 313; je mit Hinweis).</w:t>
      </w:r>
    </w:p>
    <w:p>
      <w:r>
        <w:rPr>
          <w:b/>
        </w:rPr>
        <w:t>E. 3.2</w:t>
      </w:r>
    </w:p>
    <w:p>
      <w:r>
        <w:t>Die Beschwerdeschrift enthält kein eigentliches Rechtsbegehren in der Sache. Sinngemäss geht daraus jedoch hervor, dass der Beschwerdeführer die Sicherstellung und damit auch die Entsiegelung als bundesrechtswidrig beurteilt und daher die Aufhebung der angefochtenen Verfügung beantragt. Das muss für eine von einem juristischen Laien verfasste Beschwerde genügen.</w:t>
      </w:r>
    </w:p>
    <w:p>
      <w:r>
        <w:rPr>
          <w:b/>
        </w:rPr>
        <w:t>E. 3.3</w:t>
      </w:r>
    </w:p>
    <w:p>
      <w:r>
        <w:t>Der Beschwerdeführer macht zwar grundsätzlich ausreichend substanziiert Geheimhaltungsinteressen geltend (vgl. vorne E. 2); er führt aber nicht näher und nachvollziehbar aus, inwiefern solche durch die verfügte Entsiegelung verletzt worden sein sollten. Soweit Anwaltskorrespondenz betroffen sein sollte, enthält der angefochtene Entscheid einen entsprechenden Vorbehalt. Weshalb weitere massgebliche Geheimnisse in Frage stehen sollten, wird nicht zureichend dargetan. In einer für eine Laienbeschwerde noch ausreichenden Weise rügt der Beschwerdeführer immerhin, er sei keiner Tat verdächtig und die Sicherstellung seiner Mobiltelefone sei illegal erfolgt. Insbesondere habe es für die Durchsuchung seiner Räume, in denen sich seine Mobiltelefone befunden hätten, keinen gültigen Durchsuchungsbefehl bzw. Anlass gegeben, weshalb ein Verstoss gegen Art. 241 StPO vorliege und die Beweismittel im Sinne von Art. 141 Abs. 2 StPO nicht verwertbar seien. Allenfalls kann seine Eingabe noch so verstanden werden, dass er die Entsiegelung insgesamt als unverhältnismässig erachtet. Im Übrigen ist auf die Beschwerde mangels rechtsgenüglicher Begründung nicht einzutreten.</w:t>
      </w:r>
    </w:p>
    <w:p>
      <w:r>
        <w:rPr>
          <w:b/>
        </w:rPr>
        <w:t>E. 4</w:t>
      </w:r>
    </w:p>
    <w:p>
      <w:r>
        <w:t>Bei der Sicherstellung von Objekten und Vermögenswerten im Strafverfahren muss der Nachweis strafbarer Handlungen noch nicht vorliegen. Es muss immerhin aufgrund einer vorläufigen Einschätzung von einer gewissen Wahrscheinlichkeit der Strafhandlungen, der Massgeblichkeit der fraglichen Unterlagen und Objekte sowie der rechtlichen Bedeutung derselben ausgegangen werden können; gleichzeitig darf es dabei für die Zulässigkeit der Sicherstellung oder Entsiegelung auch sein Bewenden haben (vgl. etwas das Urteil des Bundesgerichts 1B_193/2017 vom 24. August 2017 E. 2.4). In E. 2.2 des angefochtenen Entscheids wird nachvollziehbar dargelegt, dass der Beschwerdeführer mit Grund dringend verdächtigt wird und schon damals bei der Sicherstellung seiner Mobiltelefone verdächtig war, fremde Kreditkarten für Einkäufe und Bargeldbezüge benutzt zu haben. Der Beschwerdeführer bringt keine Gründe vor, die das in Frage zu stellen vermöchten.</w:t>
      </w:r>
    </w:p>
    <w:p>
      <w:r>
        <w:rPr>
          <w:b/>
        </w:rPr>
        <w:t>E. 5</w:t>
      </w:r>
    </w:p>
    <w:p>
      <w:r>
        <w:t>Nach Art. 241 Abs. 1 StPO werden Durchsuchungen und Untersuchungen in der Regel in einem schriftlichen Befehl und ausnahmsweise in dringenden Fällen mündlich angeordnet. Gemäss Art. 241 Abs. 3 StPO kann jedoch die Polizei unter anderem Durchsuchungen ohne Befehl vornehmen, wenn Gefahr in Verzug ist, worüber die zuständige Strafbehörde unverzüglich zu informieren ist. Nach E. 4.2 des angefochtenen Entscheids war aufgrund des im Polizeirapport der Kantonspolizei Zürich beschriebenen Verhaltens des Beschwerdeführers bei der Hotelkontrolle durch die Polizei Gefahr in Verzug, weshalb die Durchsuchung seiner Räume auch ohne Durchsuchungsbefehl zulässig gewesen sei. Dies ist aufgrund der Aktenlage nicht zu beanstanden. Dass die Polizei, wie der Beschwerdeführer geltend macht, nicht wissen konnte, was genau sich hinter der verschlossenen Tür befand, liegt in der Natur der Sache. Wieweit im Übrigen die durch die Sicherstellung der Mobiltelefone erwirkten Beweise im Strafverfahren verwertbar sind, ist nicht hier, sondern in der Hauptverhandlung zu entscheiden.</w:t>
      </w:r>
    </w:p>
    <w:p>
      <w:r>
        <w:rPr>
          <w:b/>
        </w:rPr>
        <w:t>E. 6</w:t>
      </w:r>
    </w:p>
    <w:p>
      <w:r>
        <w:t>Wie die Vorinstanz in E. 4 des angefochtenen Entscheids zu Recht ausführt, wiegt der gegenüber dem Beschwerdeführer bestehende Tatvorwurf betrügerischen Verhaltens unter Benutzung fremder Kreditkarten schwer. An der Aufklärung dieser Straftaten besteht ein erhebliches öffentliches Interesse. Die sichergestellten Datenträger sind beweiswesentlich. Mit den den Entsiegelungsbeschluss begleitenden Vollzugsanordnungen wird zudem ausreichend sichergestellt, dass allfälligen Geheimhaltungsinteressen, die der Beschwerdeführer im Übrigen für das bundesgerichtliche Verfahren nicht rechtsgenüglich geltend macht (vgl. vorne E. 3.3), Rechnung getragen wird.</w:t>
      </w:r>
    </w:p>
    <w:p>
      <w:r>
        <w:rPr>
          <w:b/>
        </w:rPr>
        <w:t>E. 7</w:t>
      </w:r>
    </w:p>
    <w:p>
      <w:r>
        <w:t>Der angefochtene Entscheid verstösst nicht gegen Bundesrecht, weshalb die Beschwerde abzuweisen ist, soweit darauf eingetreten werden kann. Bei diesem Verfahrensausgang wird der unterliegende Beschwerdeführer kostenpflichtig ( Art. 66 Abs. 1 BGG ). Sein sinngemäss gestelltes Gesuch um unentgeltliche Rechtspflege ist wegen Aussichtslosigkeit seiner Begehren abzuweisen (vgl. Art. 64 BGG ). Seine glaubwürdig behauptete finanziell angespannte Lage kann immerhin bei der Festlegung der Gerichtsgebühr berücksichtigt werden (vgl. Art. 65 BGG ).</w:t>
      </w:r>
    </w:p>
    <w:p>
      <w:r>
        <w:rPr>
          <w:b/>
        </w:rPr>
        <w:t>E. 8</w:t>
      </w:r>
    </w:p>
    <w:p>
      <w:r>
        <w:t>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