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1B_353/2009 vom 15. Dezember 2009</w:t>
      </w:r>
    </w:p>
    <w:p>
      <w:r>
        <w:t>Bundesgericht, 2009-12-15, FR</w:t>
      </w:r>
    </w:p>
    <w:p>
      <w:r>
        <w:rPr>
          <w:b/>
        </w:rPr>
        <w:t xml:space="preserve">Quelle: </w:t>
      </w:r>
      <w:r>
        <w:t>https://mcp.opencaselaw.ch/entscheid/bger_1B_353_2009</w:t>
      </w:r>
    </w:p>
    <w:p>
      <w:r>
        <w:t>FR: TF 1B_353/2009 du 15 décembre 2009</w:t>
      </w:r>
    </w:p>
    <w:p>
      <w:r>
        <w:t>IT: TF 1B_353/2009 del 15 dicembre 2009</w:t>
      </w:r>
    </w:p>
    <w:p>
      <w:pPr>
        <w:pStyle w:val="Heading2"/>
      </w:pPr>
      <w:r>
        <w:t>Erwägungen</w:t>
      </w:r>
    </w:p>
    <w:p>
      <w:r>
        <w:rPr>
          <w:b/>
        </w:rPr>
        <w:t>E. 1</w:t>
      </w:r>
    </w:p>
    <w:p>
      <w:r>
        <w:t>La décision attaquée, qui refuse la mise en liberté provisoire du recourant, est une décision en matière pénale au sens de l' art. 78 al. 1 LTF (cf. ATF 133 I 270 consid. 1.1 p. 273) et incidente causant un préjudice irréparable au sens de l' art. 93 al. 1 let. a LTF (arrêt 1B_114/2009 du 15 juin 2009 consid. 1). Pour le surplus, formé en temps utile ( art. 100 al. 1 LTF ) contre une décision prise en dernière instance cantonale ( art. 80 al. 1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(cf.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Dans un premier grief, le recourant conteste l'existence d'indices concrets de sa prévention s'agissant de l'infraction d'actes préparatoires délictueux en vue de commettre un brigandage.</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t>Appelé à se prononcer sur la constitutionnalité d'une décision de maintien en détention, le Tribunal fédéral n'a pas à procéder à une pesée complète des éléments à charge et à décharge, ni à apprécier la crédibilité des éléments de preuve mettant en cause le condamné. Il doit uniquement examiner s'il existe des indices sérieux de culpabilité justifiant une telle mesure, c'est-à-dire des raisons plausibles de soupçonner l'accusé d'avoir commis une infraction ( ATF 116 Ia 143 consid. 3c p. 146; art. 34 in initio CPP/GE).</w:t>
      </w:r>
    </w:p>
    <w:p>
      <w:r>
        <w:rPr>
          <w:b/>
        </w:rPr>
        <w:t>E. 3.2</w:t>
      </w:r>
    </w:p>
    <w:p>
      <w:r>
        <w:t>En l'espèce, s'agissant de l'infraction d'actes préparatoires délictueux en vue de commettre un brigandage ( art. 260bis CP ), le recourant prétend que le seul élément à sa charge serait le fait que la voiture dans laquelle il se trouvait au moment des faits est immatriculée à Lyon, tout comme le véhicule signalé par la police comme faisant des repérages aux alentours du bureau de poste de Collex-Bossy. Il perd cependant de vue que la Chambre d'accusation a également retenu le fait que B.________, le conducteur du véhicule dans lequel se trouvait l'inculpé, a clairement mis en cause celui-ci et ce, à deux reprises, pour avoir eu l'intention de commettre avec lui le vol d'une voiture en Suisse. S'ajoute à cela le fait que l'intéressé ne fournit aucune explication quant à sa présence dans le village de Collex ce matin-là à 7 heures.</w:t>
      </w:r>
    </w:p>
    <w:p>
      <w:r>
        <w:t>Par ailleurs, le recourant ne conteste pas l'existence d'indices de sa culpabilité quant à l'infraction d'opposition aux actes de l'autorité ( art. 286 CP ). A cet égard, la Chambre d'accusation a relevé que l'intéressé avait individuellement décampé à pied à travers champs, alors même que l'intervention de la police lui était clairement, d'emblée et manifestement reconnaissable comme un acte d'autorités auxquelles il était tenu de se soumettre.</w:t>
      </w:r>
    </w:p>
    <w:p>
      <w:r>
        <w:t>Ces éléments constituent un faisceau d'indices suffisant de la culpabilité du recourant, étant rappelé que c'est au juge du fond et non à celui de la détention qu'il incombera d'apprécier notamment la valeur probante de la déclaration de B.________.</w:t>
      </w:r>
    </w:p>
    <w:p>
      <w:r>
        <w:rPr>
          <w:b/>
        </w:rPr>
        <w:t>E. 4</w:t>
      </w:r>
    </w:p>
    <w:p>
      <w:r>
        <w:t>Le recourant ne conteste pas l'existence d'un risque de récidive. Il se contente d'avancer que "les éléments retenus par la Chambre d'accusation pour fonder le risque de réitération reposent sur des infractions pour lesquelles il n'est pas inculpé". Il est dès lors douteux que le recours satisfasse aux exigences de motivation posées par l' art. 42 al. 2 LTF . Peu importe au demeurant puisque le risque de récidive ne saurait être nié pour les motifs suivants.</w:t>
      </w:r>
    </w:p>
    <w:p>
      <w:r>
        <w:rPr>
          <w:b/>
        </w:rPr>
        <w:t>E. 4.1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w:t>
      </w:r>
    </w:p>
    <w:p>
      <w:r>
        <w:rPr>
          <w:b/>
        </w:rPr>
        <w:t>E. 4.2</w:t>
      </w:r>
    </w:p>
    <w:p>
      <w:r>
        <w:t>En l'occurrence, l'intéressé a déjà fait l'objet de cinq condamnations, notamment par le Tribunal correctionnel de Lyon, pour recel de bien provenant d'un vol, vol avec violence et provocation directe à la rébellion. Il a déjà subi six mois d'emprisonnement. La Chambre d'accusation a également retenu que A.________ était recherché en Suisse pour un vol remontant à 2006 et avait été signalé, la même année, à Genève pour s'être trouvé à bord d'un véhicule qui comportait un important matériel pouvant servir à la commission d'infractions. Dans ces conditions, le risque de récidive doit être considéré comme concret.</w:t>
      </w:r>
    </w:p>
    <w:p>
      <w:r>
        <w:rPr>
          <w:b/>
        </w:rPr>
        <w:t>E. 5</w:t>
      </w:r>
    </w:p>
    <w:p>
      <w:r>
        <w:t>Invoquant le principe de la proportionnalité, le recourant soutient en substance que la durée de la détention est excessive au regard de la peine encourue.</w:t>
      </w:r>
    </w:p>
    <w:p>
      <w:r>
        <w:rPr>
          <w:b/>
        </w:rPr>
        <w:t>E. 5.1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w:t>
      </w:r>
    </w:p>
    <w:p>
      <w:r>
        <w:t>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132 I 21 consid. 4.1 p. 28; 124 I 208 consid. 6 p. 215; 123 I 268 consid. 3a p. 273 et les références).</w:t>
      </w:r>
    </w:p>
    <w:p>
      <w:r>
        <w:rPr>
          <w:b/>
        </w:rPr>
        <w:t>E. 5.2</w:t>
      </w:r>
    </w:p>
    <w:p>
      <w:r>
        <w:t>En l'espèce, la durée de la détention avant jugement subie par le recourant atteignait environ trente jours au moment où la décision attaquée a été rendue. Si le recourant est reconnu coupable d'actes préparatoires délictueux en vue de commettre un brigandage, la peine privative de liberté encourue est de cinq ans au plus ( art. 260bis CP ). Le recourant ne peut se contenter de prendre en compte uniquement la durée maximale de la peine privative de liberté pour l'infraction d'opposition aux actes d'autorité ( art. 286 CP ). Dans ces conditions et vu notamment les antécédents de l'intéressé, il y a lieu de considérer que la durée de la détention préventive déjà subie est encore compatible avec la peine privative de liberté à laquelle l'inculpé est exposé concrètement en cas de condamnation, de sorte que la Chambre d'accusation a, en l'état, correctement nié une violation du principe de la proportionnalité. Les autorités cantonales devront toutefois faire en sorte que le recourant soit jugé dans les meilleurs délais, dans la mesure où l'instruction paraît toucher à sa fin.</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Yvan Jeanneret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