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1B_351/2017 vom 6. September 2017</w:t>
      </w:r>
    </w:p>
    <w:p>
      <w:r>
        <w:t>Bundesgericht, 2017-09-06, DE</w:t>
      </w:r>
    </w:p>
    <w:p>
      <w:r>
        <w:rPr>
          <w:b/>
        </w:rPr>
        <w:t xml:space="preserve">Quelle: </w:t>
      </w:r>
      <w:r>
        <w:t>https://mcp.opencaselaw.ch/entscheid/bger_1B_351_2017</w:t>
      </w:r>
    </w:p>
    <w:p>
      <w:r>
        <w:t>FR: TF 1B_351/2017 du 6 septembre 2017</w:t>
      </w:r>
    </w:p>
    <w:p>
      <w:r>
        <w:t>IT: TF 1B_351/2017 del 6 settembre 2017</w:t>
      </w:r>
    </w:p>
    <w:p>
      <w:pPr>
        <w:pStyle w:val="Heading2"/>
      </w:pPr>
      <w:r>
        <w:t>Erwägungen</w:t>
      </w:r>
    </w:p>
    <w:p>
      <w:r>
        <w:rPr>
          <w:b/>
        </w:rPr>
        <w:t>E. 1</w:t>
      </w:r>
    </w:p>
    <w:p>
      <w:r>
        <w:t>A.________ gelangte mit Eingabe vom 30. Juli 2017 an das Kantonsgericht Basel-Landschaft und ersuchte u.a. um Kostenerlass der ihm mit Beschluss des Kantonsgerichts Basel-Landschaft, Abteilung Strafrecht, vom 23. Mai 2017 auferlegten Verfahrenskosten. Das Kantonsgericht Basel-Landschaft, Abteilung Strafrecht, sistierte mit Verfügung vom 3. August 2017 das Kostenerlassverfahren bis zum Eintritt der Rechtskraft des Beschlusses des Kantonsgerichts, Abteilung Strafrecht, vom 23. Mai 2017, spätestens jedoch bis zum 8. September 2017. Gleichzeitig wies es A.________ darauf hin, dass alle übrigen Anträge gemäss seiner Eingabe vom 30. Juli 2017 (Staatshaftungsklage, Herausgabe von Fahrausweisen, Wiedergutmachung und Genugtuung sowie Nichtentgegennahme der Eingabe von B.________) nicht im Rahmen des vorliegenden Kostenerlassverfahrens behandelt werden könnten.</w:t>
      </w:r>
    </w:p>
    <w:p>
      <w:r>
        <w:rPr>
          <w:b/>
        </w:rPr>
        <w:t>E. 2</w:t>
      </w:r>
    </w:p>
    <w:p>
      <w:r>
        <w:t>A.________ führt mit Eingabe vom 12. August 2017 (Postaufgabe 14. August 2017) Beschwerde gegen die Verfügung des Kantonsgerichts Basel-Landschaft, Abteilung Strafrecht, vom 3. August 2017.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der vorliegend wiederum Anträge bezüglich Staatshaftung, Herausgabe von Fahrausweisen sowie Wiedergutmachung und Genugtuung stellt, setzt sich mit seinen nicht sachbezogenen Ausführungen überhaupt nicht mit der Begründung in der Verfügung vom 3. August 2017 auseinander. Aus seinen sachfremden Ausführungen ergibt sich somit nicht, inwiefern die Verfügung des Kantonsgerichts Basel-Landschaft rechts- bzw. verfassungswidrig sein sollte.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