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1B_351/2016 vom 16. November 2016</w:t>
      </w:r>
    </w:p>
    <w:p>
      <w:r>
        <w:t>Bundesgericht, 2016-11-16, DE</w:t>
      </w:r>
    </w:p>
    <w:p>
      <w:r>
        <w:rPr>
          <w:b/>
        </w:rPr>
        <w:t xml:space="preserve">Quelle: </w:t>
      </w:r>
      <w:r>
        <w:t>https://mcp.opencaselaw.ch/entscheid/bger_1B_351_2016</w:t>
      </w:r>
    </w:p>
    <w:p>
      <w:r>
        <w:t>FR: TF 1B_351/2016 du 16 novembre 2016</w:t>
      </w:r>
    </w:p>
    <w:p>
      <w:r>
        <w:t>IT: TF 1B_351/2016 del 16 novembre 2016</w:t>
      </w:r>
    </w:p>
    <w:p>
      <w:pPr>
        <w:pStyle w:val="Heading2"/>
      </w:pPr>
      <w:r>
        <w:t>Erwägungen</w:t>
      </w:r>
    </w:p>
    <w:p>
      <w:r>
        <w:rPr>
          <w:b/>
        </w:rPr>
        <w:t>E. 1.1</w:t>
      </w:r>
    </w:p>
    <w:p>
      <w:r>
        <w:t>Gegen den kantonal letztinstanzlichen Entscheid steht grundsätzlich die Beschwerde in Strafsachen offen (vgl. Art. 78 Abs. 1 sowie Art. 80 Abs. 1 und 2 BGG i.V.m. Art. 248 Abs. 3 und Art. 380 StPO ).</w:t>
      </w:r>
    </w:p>
    <w:p>
      <w:r>
        <w:rPr>
          <w:b/>
        </w:rPr>
        <w:t>E. 1.2</w:t>
      </w:r>
    </w:p>
    <w:p>
      <w:r>
        <w:t>Der angefochtene Entsiegelungsentscheid schliesst das Strafverfahren nicht ab, sondern ermöglicht vielmehr dessen Weiterführung. Es handelt sich um einen Zwischenentscheid, der nur dann mit Beschwerde beim Bundesgericht anfechtbar ist, wenn ein nicht wieder gutzumachender Rechtsnachteil im Sinne von Art. 93 Abs. 1 lit. a BGG droht.</w:t>
      </w:r>
    </w:p>
    <w:p>
      <w:r>
        <w:t>Ob diese Eintretensvoraussetzung erfüllt ist, ist nachfolgend zu prüfen.</w:t>
      </w:r>
    </w:p>
    <w:p>
      <w:r>
        <w:rPr>
          <w:b/>
        </w:rPr>
        <w:t>E. 1.3</w:t>
      </w:r>
    </w:p>
    <w:p>
      <w:r>
        <w:t>Das Bundesgericht hat sich in seiner Rechtsprechung mit dem Verhältnis des Siegelungsverfahrens zur StPO-Beschwerde gegen Herausgabebefehle befasst.</w:t>
      </w:r>
    </w:p>
    <w:p>
      <w:r>
        <w:t>Es hat erwogen, es sei zwar die primäre Aufgabe des Entsiegelungsrichters zu prüfen, ob schutzwürdige Geheimhaltungsinteressen einer Durchsuchung bzw. Beschlagnahme entgegenstünden. Falls die von einer provisorischen Sicherstellung bzw. einem Editionsbefehl betroffene Person neben Geheimhaltungsgründen auch noch andere akzessorische Einwände vorbringe, seien diese jedoch ebenfalls im Siegelungsverfahren zu prüfen. Dies gelte namentlich für akzessorische Rügen des fehlenden hinreichenden Tatverdachts oder der mangelnden Untersuchungsrelevanz der erhobenen Aufzeichnungen und Gegenstände bzw. für Fragen der Verhältnismässigkeit. Eine separate StPO-Beschwerde gegen Herausgabebefehle komme somit nur in Frage, wenn ausschliesslich Einwände erhoben würden, die keinerlei rechtlich geschützte Geheimhaltungsinteressen beträfen (vgl. Urteile 1B_136/2012 vom 25. September 2012 E. 4.4 und 1B_360/2013 vom 24. März 2014 E. 2.2 mit weiteren Hinweisen; kritisch zur bundesgerichtlichen Rechtsprechung Andreas J. Keller, in: Donatsch/Hansjakob/Lieber [Hrsg.], Kommentar zur Schweizerischen Strafprozessordnung [StPO], 2. Aufl. 2014, N. 12 zu Art. 248).</w:t>
      </w:r>
    </w:p>
    <w:p>
      <w:r>
        <w:t>Im zu beurteilenden Fall braucht auf diese Abgrenzung nicht weiter eingegangen zu werden, da die Vorinstanz die die Durchsuchungsvoraussetzungen betreffenden Vorbringen des Beschwerdeführers geprüft hat, obwohl dieser keine Geheimhaltungsgründe geltend machte, diese Rügen mithin selbstständig und nicht akzessorisch erhob.</w:t>
      </w:r>
    </w:p>
    <w:p>
      <w:r>
        <w:t>Die Frage, ob die Eintretensvoraussetzungen im bundesgerichtlichen Verfahren erfüllt sind, beurteilt sich indes unabhängig davon, da, wie dargelegt, insoweit ein nicht wieder gutzumachender Rechtsnachteil im Sinne von Art. 93 Abs. 1 lit. a BGG verlangt wird.</w:t>
      </w:r>
    </w:p>
    <w:p>
      <w:r>
        <w:rPr>
          <w:b/>
        </w:rPr>
        <w:t>E. 1.4</w:t>
      </w:r>
    </w:p>
    <w:p>
      <w:r>
        <w:t>Werden im Entsiegelungsverfahren geschützte Geheimnisrechte ausreichend substanziiert, ist der drohende nicht wieder gutzumachende Nachteil im Sinne von Art. 93 Abs. 1 lit. a BGG nach der Praxis des Bundesgerichts grundsätzlich zu bejahen und sind die gesetzlichen Entsiegelungsvoraussetzungen materiell zu prüfen. Sofern hingegen im Entsiegelungsverfahren keine geschützten Geheimnisinteressen (ausreichend substanziiert) als bedroht angerufen werden, sondern andere Beschlagnahmehindernisse oder Nichtverwertbarkeitsgründe (vgl. BGE 141 IV 289 E. 1.2 f. S. 291 f.) gegenüber sichergestellten Beweismitteln vorgebracht werden, fehlt es regelmässig an einem nicht wieder gutzumachenden Rechtsnachteil im Sinne von Art. 93 Abs. 1 lit. a BGG (vgl. zum Ganzen Urteil 1B_273/2015 vom 21. Januar 2016 E. 1.3).</w:t>
      </w:r>
    </w:p>
    <w:p>
      <w:r>
        <w:rPr>
          <w:b/>
        </w:rPr>
        <w:t>E. 1.5</w:t>
      </w:r>
    </w:p>
    <w:p>
      <w:r>
        <w:t>Wie die Vorinstanz im angefochtenen Entscheid vom 17. August 2016 zutreffend festgehalten hat, machte der Beschwerdeführer im Entsiegelungsverfahren keinerlei Ausführungen zu allfällig bedrohten Geheimhaltungsinteressen. Dies macht er auch im Verfahren vor Bundesgericht nicht. Vielmehr rügt er sinngemäss einzig das Fehlen eines hinreichenden Tatverdachts im Verfahren ST.2016.18304, die fehlende Verhältnismässigkeit und die angebliche Unrechtmässigkeit einer Verwendung der Sicherstellungen im Verfahren ST.2016.18304. Dem Beschwerdeführer, welcher im Verfahren ST.2015.30476 geständig ist, geht es mithin nicht um den Schutz von Geheimhaltungsinteressen, sondern darum, zu verhindern, dass allfällige (Zufalls-) Funde aus der Auswertung der zu entsiegelnden Gegenstände strafprozessual über das Verfahren ST.2015.30476 hinaus verwertet werden. Die Frage der Verwertbarkeit wird der Beschwerdeführer indes dem Sachrichter unterbreiten können und müssen (vgl. BGE 141 IV 289 E. 1.2 f. S. 291 f.).</w:t>
      </w:r>
    </w:p>
    <w:p>
      <w:r>
        <w:rPr>
          <w:b/>
        </w:rPr>
        <w:t>E. 1.6</w:t>
      </w:r>
    </w:p>
    <w:p>
      <w:r>
        <w:t>Zusammenfassend macht der Beschwerdeführer in seiner Beschwerde somit keine geschützten Geheimnisinteressen geltend, weshalb ein nicht wieder gutzumachender Rechtsnachteil im Sinne von Art. 93 Abs. 1 lit. a BGG zu verneinen ist.</w:t>
      </w:r>
    </w:p>
    <w:p>
      <w:r>
        <w:rPr>
          <w:b/>
        </w:rPr>
        <w:t>E. 2</w:t>
      </w:r>
    </w:p>
    <w:p>
      <w:r>
        <w:t>Auf die Beschwerde ist daher nicht einzutreten. Mit dem Entscheid in der Sache wird das Gesuch um aufschiebende Wirkung gegenstandslos.</w:t>
      </w:r>
    </w:p>
    <w:p>
      <w:r>
        <w:t>Da die Beschwerde aussichtlos war, kann dem Gesuch um unentgeltliche Rechtspflege nach Art. 64 BGG nicht entsprochen werden. Die Gerichtskosten sind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