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351/2015 vom 30. Oktober 2015</w:t>
      </w:r>
    </w:p>
    <w:p>
      <w:r>
        <w:t>Bundesgericht, 2015-10-30, FR</w:t>
      </w:r>
    </w:p>
    <w:p>
      <w:r>
        <w:rPr>
          <w:b/>
        </w:rPr>
        <w:t xml:space="preserve">Quelle: </w:t>
      </w:r>
      <w:r>
        <w:t>https://mcp.opencaselaw.ch/entscheid/bger_1B_351_2015</w:t>
      </w:r>
    </w:p>
    <w:p>
      <w:r>
        <w:t>FR: TF 1B 351/2015 du 30 octobre 2015</w:t>
      </w:r>
    </w:p>
    <w:p>
      <w:r>
        <w:t>IT: TF 1B 351/2015 del 30 ottobre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recourante, en tant que prévenue et détenue, a un intérêt juridique protégé à l'annulation ou à la modification de l'arrêt attaqué (art. 81 al. 1 let. a et b ch. 1 LTF). Pour le surplus, le recours a été déposé en temps utile ( art. 100 al. 1 LTF ) et les conclusions prises sont recevables ( art. 107 al. 2 LTF ). Il y a donc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et 197 al. 1 let. c CPP). Pour que tel soit le cas, la privation de liberté doit être justifiée par les besoins de l'instruction, par un risque de fuite ou par un danger de collusion ou de réitération (art. 221 al. 1 let. a, b et c CPP). Préalablement à l'examen de ces hypothèses, il doit exister à l'égard de l'intéressé des charges suffisantes, soit de sérieux soupçons de culpabilité ( art. 221 al. 1 CPP et 5 § 1 let . c CEDH). Cette condition n'est pas remise en cause en l'espèce.</w:t>
      </w:r>
    </w:p>
    <w:p>
      <w:r>
        <w:rPr>
          <w:b/>
        </w:rPr>
        <w:t>E. 3</w:t>
      </w:r>
    </w:p>
    <w:p>
      <w:r>
        <w:t>La recourante reproche à l'autorité précédente d'avoir retenu l'existence d'un risque de récidive. A cet égard, elle soutient en substance que les faits qui lui sont reprochés n'atteindraient pas la gravité nécessaire pour justifier le maintien en détention en l'absence de tout antécédent; aucun autre élément concret au dossier ne permettrait d'ailleurs de retenir un pronostic défavorable à son encontre et il ne serait ainsi pas justifié d'attendre les conclusions des psychiatres. Selon la recourante, la cour cantonale violerait d'ailleurs son droit d'être entendue en ne motivant pas cette question.</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La loi et par conséquent la jurisprudence imposent de faire preuve de retenue dans l'appréciation du risque de récidive : le maintien en détention ne peut se justifier pour ce motif que si les délits dont l'autorité redoute la réitération sont graves et si le pronostic est très défavorable. A cet égard, entrent notamment en compte la fréquence, ainsi que l'intensité des infractions constatées et le casier judiciaire ( ATF 137 IV 84 consid. 3.2 p. 85 s.; arrêt 1B_50/2013 du 25 février 2013 consid. 4.3). La jurisprudence se montre toutefois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140 IV 19 consid. 2.1.1 p. 21 s.; 137 IV 122 consid. 5.2 p. 129 s.; 123 I 268 consid. 2e p. 271). Lorsque les infractions examinées sont graves et que d'autres circonstances inquiétantes viennent s'y ajouter, la jurisprudence peut autoriser le maintien en détention jusqu'à la réception d'un premier avis d'expert psychiatre sur le risque de récidive (cf. en particulier arrêts 1B_232/2014 du 14 juillet 2014 consid. 3.2 et 3.3 [nombreuses infractions à la loi sur la circulation routière, récidive au cours de l'instruction, antécédents dont 7 pour des faits similaires]; 1B_94/2014 du 21 mars 2014 consid. 3.2 [mise en danger avec une arme à feu chargée par un prévenu sous traitement psychiatrique]; 1B_49/2014 du 19 février 2014 consid. 5.2 [meurtre, subsidiairement homicide par négligence, avec antécédents (condamnation pour injure et enquête en cours par la justice militaire pour insoumission)]; 1B_305/2013 du 26 septembre 2013 consid. 3.2 [instruction en raison notamment d'incendies intentionnels et de tirs perpétrés en état d'alcoolisation ou sous l'influence de stupéfiants, expertise psychiatrique en cours]; ATF 123 I 268 consid. 2e p. 271 s. [meurtres de l'épouse et d'un des fils du prévenu et tentative de meurtre sur l'autre fils]).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aussi se fonder sur les infractions faisant l'objet de la procédure pénale en cours, si le prévenu est fortement soupçonné - avec une probabilité confinant à la certitude - de les avoir commises ( ATF 137 IV 84 consid. 3.2 p. 86). En revanche, une possibilité hypothétique de réitération, ainsi que la probabilité que des infractions de peu d'importance soient à nouveau perpétrées ne suffisent pas pour justifier la détention provisoire ( ATF 140 IV 19 consid. 2.1.1 p. 22.; 135 I 71 consid. 2.3 p. 73).</w:t>
      </w:r>
    </w:p>
    <w:p>
      <w:r>
        <w:rPr>
          <w:b/>
        </w:rPr>
        <w:t>E. 3.2</w:t>
      </w:r>
    </w:p>
    <w:p>
      <w:r>
        <w:t>En l'occurrence, la juridiction cantonale a retenu à juste titre que les faits reprochés à la recourante sont graves. Elle paraît ainsi avoir prémédité son acte (cf. ses recherches internet depuis juillet 2015 et le matériel acquis); la systématique et l'ampleur de sa préparation seront d'ailleurs appréciées, le cas échéant, par le juge du fond. En outre, la recourante semble avoir eu conscience des conséquences pouvant découler de l'usage de l'acide, puisqu'elle-même se serait protégée (cf. le masque et les gants utilisés); elle ne paraît donc pas pouvoir prétendre ignorer les lésions que la victime - visée par ailleurs au visage - aurait pu encourir à la suite de son geste. Certes, la gravité de l'acte présentement commis permet d'être moins exigeant lors de l'examen du risque de récidive. Cela ne dispense toutefois pas l'autorité cantonale d'examiner les circonstances concrètes d'espèce et de faire état d'un minimum d'indices quant à la dangerosité potentielle de la prévenue (par exemple : ses antécédent (s), sa consommation d'alcool et/ou de stupéfiants, ses possibles problèmes psychiques, son mobile, l'absence de cadre familial/professionnel, le défaut de prise de conscience et/ou de regrets, etc.). Or, après avoir rappelé les faits perpétrés, la juridiction précédente se limite à confirmer l'appréciation du Procureur quant au comportement adopté par la recourante ("personnalité de type obsessionnel"). Sans étayer ses conclusions, elle en déduit pourtant l'existence d'un risque de récidive, ce qui justifierait d'attendre les conclusions des experts psychiatres. Elle ne mentionne cependant aucun élément du dossier qui permettrait notamment de penser que la recourante aurait la volonté de s'en prendre à d'autres personnes. Dès lors, à ce stade de l'instruction, vu l'absence tant d'antécédent que d'indice de possible nouvelle commission d'infraction et au regard du conflit amoureux a priori à l'origine des infractions, un risque de récidive au sens de la loi ( art. 221 al. 1 let . c CPP) ne peut pas être retenu en raison de la seule gravité des actes commis. Le maintien en détention ne peut pas non plus se justifier sur les possibles conclusions à venir du rapport d'expertise sur cette question. Cela vaut d'autant plus que, sous l'angle du respect du principe de proportionnalité, le Ministère public ne donne aucune information sur l'organisation de ladite mesure d'instruction, n'étant ainsi pas établi qu'un premier avis pourrait être rendu d'ici au 15 novembre 2015. En conséquence, la Chambre des recours pénale viole le droit fédéral en confirmant l'existence d'un risque de réitération.</w:t>
      </w:r>
    </w:p>
    <w:p>
      <w:r>
        <w:rPr>
          <w:b/>
        </w:rPr>
        <w:t>E. 4</w:t>
      </w:r>
    </w:p>
    <w:p>
      <w:r>
        <w:t>Il s'ensuit que le recours doit être admis. L'arrêt de la Chambre des recours pénale du 2 septembre 2015 est annulé. La remise en liberté immédiate de la recourante est ordonnée, à charge du Ministère public d'organiser sans délai les modalités de celle-ci. La recourante, qui obtient gain de cause avec l'assistance d'un avocat, a droit à des dépens pour les procédures fédérale et cantonale à la charge du canton de Vaud ( art. 68 al. 1 et 5 LTF ); sa requête d'assistance judiciaire est dès lors sans objet.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