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1B_350/2014 vom 11. Dezember 2014</w:t>
      </w:r>
    </w:p>
    <w:p>
      <w:r>
        <w:t>Bundesgericht, 2014-12-11, FR</w:t>
      </w:r>
    </w:p>
    <w:p>
      <w:r>
        <w:rPr>
          <w:b/>
        </w:rPr>
        <w:t xml:space="preserve">Quelle: </w:t>
      </w:r>
      <w:r>
        <w:t>https://mcp.opencaselaw.ch/entscheid/bger_1B_350_2014</w:t>
      </w:r>
    </w:p>
    <w:p>
      <w:r>
        <w:t>FR: TF 1B_350/2014 du 11 décembre 2014</w:t>
      </w:r>
    </w:p>
    <w:p>
      <w:r>
        <w:t>IT: TF 1B_350/2014 del 11 dicembre 2014</w:t>
      </w:r>
    </w:p>
    <w:p>
      <w:pPr>
        <w:pStyle w:val="Heading2"/>
      </w:pPr>
      <w:r>
        <w:t>Erwägungen</w:t>
      </w:r>
    </w:p>
    <w:p>
      <w:r>
        <w:rPr>
          <w:b/>
        </w:rPr>
        <w:t>E. 1</w:t>
      </w:r>
    </w:p>
    <w:p>
      <w:r>
        <w:t>La contestation portant sur une décision relative à la défense d'office en matière pénale, le recours au Tribunal fédéral est régi par les art. 78 ss LTF . Formé en temps utile ( art. 100 al. 1 LTF ) contre une décision prise en dernière instance cantonale ( art. 80 al. 1 LTF ) et qui touche le recourant dans ses intérêts juridiquement protégés (art. 81 al. 1 let. a et b ch. 1 LTF), le recours est recevable comme recours en matière pénale.</w:t>
      </w:r>
    </w:p>
    <w:p>
      <w:r>
        <w:rPr>
          <w:b/>
        </w:rPr>
        <w:t>E. 1.1</w:t>
      </w:r>
    </w:p>
    <w:p>
      <w:r>
        <w:t>La décision par laquelle le juge refuse un changement de défenseur d'office constitue une décision incidente, qui ne met pas fin à la procédure ( ATF 126 I 207 consid. 1a p. 209; 111 Ia 276 consid. 2b p. 278 s.). Une telle décision ne peut faire l'objet d'un recours au Tribunal fédéral que si elle peut causer un préjudice irréparable ( art. 93 al. 1 let. a LTF ); la partie recourante doit se trouver exposée à un dommage de nature juridique, qui ne puisse pas être réparé ultérieurement par un jugement final ou une autre décision qui lui serait favorable ( ATF 137 IV 172 consid. 2.1 p. 173 s.; 136 IV 92 consid. 4 p. 95; 133 IV 335 consid. 4 p. 338). Il incombe au recourant de démontrer l'existence d'un tel préjudice lorsque celui-ci n'est pas d'emblée évident ( ATF 138 III 46 consid. 1.2 p. 47; 136 IV 92 consid. 4 p. 95).</w:t>
      </w:r>
    </w:p>
    <w:p>
      <w:r>
        <w:t>Selon la jurisprudence, le prononcé refusant un changement de défenseur d'office n'entraîne en principe aucun préjudice juridique, car le prévenu continue d'être assisté par le défenseur désigné; l'atteinte à la relation de confiance n'empêche en règle générale pas dans une telle situation une défense efficace ( ATF 139 IV 113 consid. 1.1 p. 115 s.; 133 IV 335 consid. 4 p. 339). L'existence d'un tel dommage ne peut être admise que dans des circonstances particulières faisant craindre que l'avocat d'office désigné ne puisse pas défendre efficacement les intérêts du prévenu, par exemple en cas de conflit d'intérêts ou de carences manifestes du mandataire désigné ( ATF 139 IV 113 consid. 1.1 p. 116; 135 I 261 consid. 1.2 p. 263), ou encore lorsque l'autorité refuse arbitrairement de tenir compte des voeux émis par la partie assistée (arrêts 1B_74/2008 du 18 juin 2008 consid. 2; 1B_245/ 2008 du 11 novembre 2008 consid. 2). Le simple fait que la partie assistée n'a pas confiance dans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 ATF 138 IV 161 consid. 2.4 p. 164 s.).</w:t>
      </w:r>
    </w:p>
    <w:p>
      <w:r>
        <w:rPr>
          <w:b/>
        </w:rPr>
        <w:t>E. 1.2</w:t>
      </w:r>
    </w:p>
    <w:p>
      <w:r>
        <w:t>En l'espèce le recourant continue, dans le cadre de la procédure pénale dont il fait l'objet, d'être assisté par le défenseur qui lui a été désigné, de sorte qu'il ne subit en principe pas de préjudice juridique. A ce stade de la procédure, il ne peut se prévaloir d'aucun droit à ce que Me C.________ soit nommée comme avocate d'office (cf. arrêt 1B_178/2013 du 11 juillet 2013 consid. 2.2). Dans sa lettre, le recourant déclare avoir perdu toute confiance en son avocat d'office. Il se contente d'affirmer de manière péremptoire que son avocat d'office ne voudrait entreprendre aucune démarche pour lui, qu'il ne viendrait jamais le voir, qu'il ne lui écrirait jamais et qu'il ferait traîner la procédure. De telles assertions, purement appellatoires, ne satisfont pas aux exigences de motivation déduites des art. 42 al. 2 et 106 al. 2 LTF s'agissant de la démonstration du caractère arbitraire de l'arrêt cantonal (cf. ATF 138 I 171 consid. 1.4 p. 176 et les arrêts cités). Le recourant ne propose en effet pas la moindre discussion des considérations émises pas l'instance précédente. Or celle-ci n'a constaté aucun manquement particulier de l'avocat qui aurait trait à des initiatives préjudiciables aux intérêts du recourant, tels des absences intempestives ou des incidents irrelevants. L'instance précédente a relevé que l'avocat du recourant avait, au contraire, participé activement aux audiences et s'était opposé aux demandes du Ministère public de prolongation de la détention provisoire. Dès lors, sur la base des faits établis par l'instance cantonale, celle-ci pouvait à juste titre considérer que la relation de confiance entre le prévenu et son défenseur n'apparaissait pas "gravement perturbée" pour des motifs objectifs, comme l'exige l' art. 134 al. 2 CPP . Le fait que Me B.________ ne s'opposerait pas au changement d'avocat d'office si l'autorité l'ordonnait n'est pas déterminant.</w:t>
      </w:r>
    </w:p>
    <w:p>
      <w:r>
        <w:rPr>
          <w:b/>
        </w:rPr>
        <w:t>E. 1.3</w:t>
      </w:r>
    </w:p>
    <w:p>
      <w:r>
        <w:t>En définitive, sur le vu de la motivation du recours - pour autant qu'elle satisfasse aux exigences découlant des art. 42 al. 2 et 106 al. 2 LTF -, on ne peut que constater que la décision litigieuse ne prive pas le recourant d'une défense effective. Elle ne lui cause donc pas de préjudice juridique irréparable au sens de la jurisprudence susmentionnée. Compte tenu des circonstances du cas d'espèce, il est statué sans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