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1B_34/2020 vom 5. Februar 2020</w:t>
      </w:r>
    </w:p>
    <w:p>
      <w:r>
        <w:t>Bundesgericht, 2020-02-05, DE</w:t>
      </w:r>
    </w:p>
    <w:p>
      <w:r>
        <w:rPr>
          <w:b/>
        </w:rPr>
        <w:t xml:space="preserve">Quelle: </w:t>
      </w:r>
      <w:r>
        <w:t>https://mcp.opencaselaw.ch/entscheid/bger_1B_34_2020</w:t>
      </w:r>
    </w:p>
    <w:p>
      <w:r>
        <w:t>FR: TF 1B_34/2020 du 5 février 2020</w:t>
      </w:r>
    </w:p>
    <w:p>
      <w:r>
        <w:t>IT: TF 1B_34/2020 del 5 febbraio 2020</w:t>
      </w:r>
    </w:p>
    <w:p>
      <w:pPr>
        <w:pStyle w:val="Heading2"/>
      </w:pPr>
      <w:r>
        <w:t>Erwägungen</w:t>
      </w:r>
    </w:p>
    <w:p>
      <w:r>
        <w:rPr>
          <w:b/>
        </w:rPr>
        <w:t>E. 1</w:t>
      </w:r>
    </w:p>
    <w:p>
      <w:r>
        <w:t>Mit Urteil des Bezirksgerichts Schwyz vom 26. Juni 2019 wurde A.________ wegen grober Verletzung der Verkehrsregeln zu einer bedingten Geldstrafe von 50 Tagessätzen und einer Verbindungsbusse von Fr. 750.- verurteilt. A.________ erklärte gegen dieses Urteil Berufung und ersuchte um unentgeltliche Rechtspflege und Verbeiständung.</w:t>
      </w:r>
    </w:p>
    <w:p>
      <w:r>
        <w:t>Mit Verfügung vom 9. Dezember 2019 wies das Kantonsgericht Schwyz das Gesuch um amtliche Verteidigung im Berufungsverfahren ab.</w:t>
      </w:r>
    </w:p>
    <w:p>
      <w:r>
        <w:t>Mit Eingabe vom 16. Januar 2020 erhebt A.________ Beschwerde gegen diese Verfügung des Kantonsgerichts.</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setzt sich mit dem angefochtenen Entscheid nicht auseinander, sondern macht bloss geltend, aufgrund seiner prekären finanziellen Lage müsse ihm ein unentgeltlicher Verteidiger beigegeben werden. Das genügt den gesetzlichen Anforderungen an die Begründung einer Beschwerde nicht, weshalb darauf im vereinfachten Verfahren nicht einzutreten ist. Das schadet ihm insofern nicht, als die Kantonsgerichtsvizepräsidentin im angefochtenen Entscheid zutreffend dargelegt hat, dass es sich beim Strafverfahren gegen ihn um einen Bagatellfall im Sinn von Art. 132 Abs. 3 StPO handelt, in dem er keinen Anspruch auf amtliche Verteidigung hat.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