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1B_349/2011 vom 14. Juli 2011</w:t>
      </w:r>
    </w:p>
    <w:p>
      <w:r>
        <w:t>Bundesgericht, 2011-07-14, FR</w:t>
      </w:r>
    </w:p>
    <w:p>
      <w:r>
        <w:rPr>
          <w:b/>
        </w:rPr>
        <w:t xml:space="preserve">Quelle: </w:t>
      </w:r>
      <w:r>
        <w:t>https://mcp.opencaselaw.ch/entscheid/bger_1B_349_2011</w:t>
      </w:r>
    </w:p>
    <w:p>
      <w:r>
        <w:t>FR: TF 1B_349/2011 du 14 juillet 2011</w:t>
      </w:r>
    </w:p>
    <w:p>
      <w:r>
        <w:t>IT: TF 1B_349/2011 del 14 luglio 2011</w:t>
      </w:r>
    </w:p>
    <w:p>
      <w:pPr>
        <w:pStyle w:val="Heading2"/>
      </w:pPr>
      <w:r>
        <w:t>Erwägungen</w:t>
      </w:r>
    </w:p>
    <w:p>
      <w:r>
        <w:rPr>
          <w:b/>
        </w:rPr>
        <w:t>E. 1</w:t>
      </w:r>
    </w:p>
    <w:p>
      <w:r>
        <w:t>La décision attaquée se rapporte à une mesure de contrainte au sens des art. 196 ss du code de procédure pénale suisse (CPP; RS 312.0). La voie du recours en matière pénale selon les art. 78 ss LTF est ouverte ( ATF 137 IV 22 consid. 1 p. 23). Dès lors que l'acte de procédure litigieux ne met pas un terme à la procédure pénale (art. 90 s. LTF), il s'agit d'une décision incidente prise séparément au sens de l' art. 93 al. 1 LTF . La décision ordonnant la détention provisoire du prévenu étant susceptible de lui causer un préjudice irréparable au sens de l' art. 93 al. 1 let. a LTF (cf. arrêt 1B_126/2011 du 6 avril 2011 consid. 1.1), elle peut faire l'objet d'un recours au Tribunal fédéral.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Dans un grief d'ordre formel qu'il convient d'examiner en premier lieu, le recourant se plaint d'une violation de son droit d'être entendu, au motif que la Cour de justice ne lui a pas laissé l'occasion de se déterminer sur les observations qu'elle a reçues du Ministère public.</w:t>
      </w:r>
    </w:p>
    <w:p>
      <w:r>
        <w:rPr>
          <w:b/>
        </w:rPr>
        <w:t>E. 2.1</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133 I 100 consid. 4.3 ss p. 102 ss, 98 consid. 2.2 p. 99; 132 I 42 consid. 3.3.2 - 3.3.4 p. 46 s.; cf. en outre les arrêts de la Cour européenne des droits de l'homme dans les causes Schaller-Bossert c. Suisse du 28 octobre 2010 § 39 s. et Nideröst-Huber c. Suisse du 18 février 1997, Recueil CourEDH 1997-I p. 101 § 24 ss).</w:t>
      </w:r>
    </w:p>
    <w:p>
      <w:r>
        <w:rPr>
          <w:b/>
        </w:rPr>
        <w:t>E. 2.2</w:t>
      </w:r>
    </w:p>
    <w:p>
      <w:r>
        <w:t>En l'espèce, le recourant se plaint du fait que les déterminations du Ministère public devant la Cour de justice lui ont été transmises le 27 juin 2011 seulement, soit après que l'arrêt attaqué ait été rendu, de sorte qu'il n'a pas eu la possibilité de se déterminer à leur sujet. Cette affirmation n'est contredite ni par le Ministère public ni par la Cour de justice, cette autorité admettant du reste que le recourant n'a pas pu exprimer son opinion après l'envoi des observations en cause. Il y a donc lieu de constater que l'arrêt attaqué a été rendu sans que le prévenu n'ait eu l'occasion de se déterminer sur les observations du Ministère public, ce qui est contraire aux principes jurisprudentiels susmentionnés. Relevant que le présent cas s'apparente en tous points à celui qui a fait l'objet de l'arrêt 1B_269/2011 du 20 juin 2011, la Cour de justice affirme qu'elle a depuis lors modifié sa pratique. La Cour de céans prend acte de ce changement de pratique, qui devrait assurer le respect du droit de réplique à l'avenir. Cela n'enlève toutefois rien à la violation constatée dans la présente cause, de sorte que le recours doit être admis pour ce motif, la violation en question ne pouvant pas être guérie devant le Tribunal fédéral (cf. arrêt 1B_269/2011 précité, consid. 2.3 et les références citées).</w:t>
      </w:r>
    </w:p>
    <w:p>
      <w:r>
        <w:rPr>
          <w:b/>
        </w:rPr>
        <w:t>E. 3</w:t>
      </w:r>
    </w:p>
    <w:p>
      <w:r>
        <w:t>Il s'ensuit que le recours doit être admis partiellement et l'arrêt attaqué annulé. La cause est renvoyée à la Cour de justice pour qu'elle rende, à brève échéance, une nouvelle décision prise dans le respect du droit à la réplique défini ci-dessus. Il n'y a pas lieu de percevoir de frais judiciaires ( art. 66 al. 4 LTF ). L'Etat de Genève versera en revanche une indemnité de dépens au recourant, qui obtient gain de cause avec l'assistance d'un avocat ( art. 68 al. 1 LTF ). Vu l'issue du recours,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