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347/2017 vom 1. September 2017</w:t>
      </w:r>
    </w:p>
    <w:p>
      <w:r>
        <w:t>Bundesgericht, 2017-09-01, DE</w:t>
      </w:r>
    </w:p>
    <w:p>
      <w:r>
        <w:rPr>
          <w:b/>
        </w:rPr>
        <w:t xml:space="preserve">Quelle: </w:t>
      </w:r>
      <w:r>
        <w:t>https://mcp.opencaselaw.ch/entscheid/bger_1B_347_2017</w:t>
      </w:r>
    </w:p>
    <w:p>
      <w:r>
        <w:t>FR: TF 1B 347/2017 du 1 septembre 2017</w:t>
      </w:r>
    </w:p>
    <w:p>
      <w:r>
        <w:t>IT: TF 1B 347/2017 del 1 settembre 2017</w:t>
      </w:r>
    </w:p>
    <w:p>
      <w:pPr>
        <w:pStyle w:val="Heading2"/>
      </w:pPr>
      <w:r>
        <w:t>Regeste</w:t>
      </w:r>
    </w:p>
    <w:p>
      <w:r>
        <w:t>Gesuch um Haftentlassung | Strafprozess</w:t>
      </w:r>
    </w:p>
    <w:p>
      <w:pPr>
        <w:pStyle w:val="Heading2"/>
      </w:pPr>
      <w:r>
        <w:t>Erwägungen</w:t>
      </w:r>
    </w:p>
    <w:p>
      <w:r>
        <w:rPr>
          <w:b/>
        </w:rPr>
        <w:t>E. 1</w:t>
      </w:r>
    </w:p>
    <w:p>
      <w:r>
        <w:t>Vorliegend geht es um die vom Beschwerdeführer ersuchte Entlassung aus dem vorzeitigen Massnahmenvollzug, mit welchem die angeordnete Sicherheitshaft vollzogen wird (vgl. dazu Art. 236 StPO ). Über Haftentlassungsgesuche während eines Verfahrens vor dem Berufungsgericht entscheidet dessen Verfahrensleitung innert fünf Tagen. Dieser Entscheid ist nicht mit StPO-Beschwerde anfechtbar (Art. 233 i.V.m. Art. 222 Satz 2 und Art. 380 StPO ). Gegen den kantonal letztinstanzlichen Entscheid ist die Beschwerde in Strafsachen nach Art. 78 ff. BGG gegeben (vgl. Urteile 1B_179/2014 vom 5. Juni 2014 E. 1 f. und 1B_722/2011 vom 16. Januar 2012 E. 1). Der Beschwerdeführer nahm vor der Vorinstanz am Verfahren teil und hat ein rechtlich geschütztes Interesse an der Aufhebung des angefochtenen Entscheids. Er ist nach Art. 81 Abs. 1 BGG zur Beschwerde berechtigt. Auf die Beschwerde ist einzutreten.</w:t>
      </w:r>
    </w:p>
    <w:p>
      <w:r>
        <w:rPr>
          <w:b/>
        </w:rPr>
        <w:t>E. 2.1</w:t>
      </w:r>
    </w:p>
    <w:p>
      <w:r>
        <w:t>Der Beschwerdeführer bringt vor, die Staatsanwaltschaft habe sich am 10. Juli 2017 zu seinem Haftentlassungsgesuch vernehmen lassen. Die Vorinstanz habe ihm keine Gelegenheit gegeben, dazu eine Replik einzureichen, sondern habe ihm die Stellungnahme erst zusammen mit dem angefochtenen Entscheid eröffnet. Dadurch habe sie seinen Anspruch auf rechtliches Gehör gemäss Art. 29 Abs. 2 BV verletzt.</w:t>
      </w:r>
    </w:p>
    <w:p>
      <w:r>
        <w:rPr>
          <w:b/>
        </w:rPr>
        <w:t>E. 2.2</w:t>
      </w:r>
    </w:p>
    <w:p>
      <w:r>
        <w:t>Das Recht, angehört zu werden, ist formeller Natur. Seine Verletzung führt ungeachtet der materiellen Begründetheit der Beschwerde zu deren Gutheissung und zur Aufhebung des angefochtenen Entscheids ( BGE 137 I 195 E. 2.2 S. 197). Die Rüge ist daher vorweg zu behandeln.</w:t>
      </w:r>
    </w:p>
    <w:p>
      <w:r>
        <w:rPr>
          <w:b/>
        </w:rPr>
        <w:t>E. 2.3</w:t>
      </w:r>
    </w:p>
    <w:p>
      <w:r>
        <w:t>Gemäss Art. 29 Abs. 2 BV und Art. 3 Abs. 2 lit. c StPO haben die Parteien Anspruch auf rechtliches Gehör. Dieser umfasst namentlich das Recht, von den beim Gericht eingereichten Stellungnahmen Kenntnis zu erhalten und sich dazu mit Replik äussern zu können ( BGE 137 I 195 E. 2.3.1 S. 197). Im Haftprüfungsverfahren hat der Beschuldigte aufgrund von Art. 31 Abs. 4 BV und Art. 5 Ziff. 4 EMRK , die ein kontradiktorisches Verfahren gewährleisten, das Recht, zu jeder Vernehmlassung der Strafverfolgungsbehörden zu replizieren, unbekümmert darum, ob darin neue Tatsachen vorgebracht werden oder nicht (eingehend Urteil 1B_728/2011 vom 13. Januar 2012 E. 2.3 mit Hinweisen).</w:t>
      </w:r>
    </w:p>
    <w:p>
      <w:r>
        <w:rPr>
          <w:b/>
        </w:rPr>
        <w:t>E. 2.4</w:t>
      </w:r>
    </w:p>
    <w:p>
      <w:r>
        <w:t>Die vorliegend einschlägige Bestimmung von Art. 233 StPO verlangt zwar nicht ausdrücklich die Einholung einer Stellungnahme der Staatsanwaltschaft. Diese vertritt jedoch den Strafanspruch des Staates im Haupt- und Berufungsverfahren. Ausserdem muss das Haftprüfungsverfahren - gestützt auf die erwähnten Art. 31 Abs. 4 BV und Art. 5 Ziff. 4 EMRK - schon deshalb kontradiktorisch (wie in den Verfahren nach Art. 228 und Art. 230 StPO ) ausgestaltet sein, weil sonst die Gefahr bestünde, dass der Haftrichter selbst die Perspektive der Anklagebehörde einnehmen könnte. Insofern ist die Bestimmung von Art. 228 StPO auch im Verfahren nach Art. 233 StPO sinngemäss anwendbar. Dass die Verfahrensleitung des Berufungsgerichtes den Haftprüfungsentscheid innert fünf Tagen zu fällen hat, trägt dem Beschleunigungsgebot in Haftsachen ( Art. 5 Abs. 2 StPO ) Rechnung. Die Frist erscheint allerdings kurz, da innert fünf Tagen eine sorgfältige Prüfung der Haftvoraussetzungen in einem kontradiktorischen Verfahren zu erfolgen hat. Der Entscheid ist innert fünf Tagen seit Abschluss des Schriftenwechsels, d.h. seit Eingang einer allfälligen Replik der beschuldigten Person, zu fällen (analog Art. 228 Abs. 4 StPO ). Das setzt allerdings wiederum voraus, dass entsprechend kurze Fristen gesetzt werden (vgl. zum Ganzen Urteile 1B_179/2014 vom 5. Juni 2014 E. 3.2 und 1B_722/2011 vom 16. Januar 2012 E. 4.3).</w:t>
      </w:r>
    </w:p>
    <w:p>
      <w:r>
        <w:rPr>
          <w:b/>
        </w:rPr>
        <w:t>E. 2.5</w:t>
      </w:r>
    </w:p>
    <w:p>
      <w:r>
        <w:t>Die Stellungnahme der Staatsanwaltschaft vom 10. Juli 2017 zum Antrag des Beschwerdeführers auf Haftentlassung vom 3. Juli 2017 wurde dem Beschwerdeführer unbestrittenermassen erst zusammen mit dem angefochtenen Entscheid eröffnet (Dispositiv-Ziffer 2 des angefochtenen Entscheids; vgl. auch Sachverhalt lit. B. hiervor). Mit diesem Vorgehen hat die Vorinstanz nach dem Gesagten (E. 2.3 und 2.4 hiervor) den Anspruch des Beschwerdeführers auf rechtliches Gehör missachtet ( Art. 29 Abs. 2 BV ).</w:t>
      </w:r>
    </w:p>
    <w:p>
      <w:r>
        <w:rPr>
          <w:b/>
        </w:rPr>
        <w:t>E. 2.6</w:t>
      </w:r>
    </w:p>
    <w:p>
      <w:r>
        <w:t>Als begründet erweist sich auch die weitere formelle Rüge des Beschwerdeführers, die Vorinstanz sei ihrer Begründungspflicht gemäss Art. 29 Abs. 2 BV nicht rechtsgenüglich nachgekommen. Die Vorinstanz hat bei der Prüfung der Verhältnismässigkeit der Sicherheitshaft erwogen, gemäss Art. 59 Abs. 4 Satz 1 StGB betrage der mit einer stationären Behandlung verbundene Freiheitsentzug in der Regel höchstens fünf Jahre. Der Beschwerdeführer befinde sich seit dem 26. April 2016 in Haft, womit der zu erwartende Freiheitsentzug bei weitem noch nicht erreicht sei. Mit dem blossen Verweis auf Art. 59 Abs. 4 Satz 1 StGB ohne Bezugnahme auf die konkreten Umstände des zu beurteilenden Falls hat die Vorinstanz ihre Begründungspflicht verletzt.</w:t>
      </w:r>
    </w:p>
    <w:p>
      <w:r>
        <w:rPr>
          <w:b/>
        </w:rPr>
        <w:t>E. 2.7</w:t>
      </w:r>
    </w:p>
    <w:p>
      <w:r>
        <w:t>Während die Vorinstanz über volle Kognition verfügt, ist jene des Bundesgerichts beschränkt ( Art. 97 BGG ). Für die Prüfung der Haftvoraussetzungen, insbesondere des besonderen Haftgrunds der Wiederholungsgefahr, sind auch Sachverhaltsfragen von Bedeutung. Die Heilung der Gehörsverletzung im Verfahren vor Bundesgericht fällt daher ausser Betracht (vgl. Urteile 1B_728/2011 vom 13. Januar 2012 E. 2.5 und 1B_143/2015 vom 5. Mai 2015 E. 3.3). Ein Eingehen auf die weiteren Rügen des Beschwerdeführers erübrigt sich.</w:t>
      </w:r>
    </w:p>
    <w:p>
      <w:r>
        <w:rPr>
          <w:b/>
        </w:rPr>
        <w:t>E. 2.8</w:t>
      </w:r>
    </w:p>
    <w:p>
      <w:r>
        <w:t>Die Sache ist in Gutheissung der Beschwerde an die Vorinstanz zurückzuweisen. Diese wird nach Gewährung des Replikrechts innert fünf Tagen neu zu entscheiden haben, ob die Haftvoraussetzungen erfüllt sind ( Art. 233 StPO ). Eine Haftentlassung durch das Bundesgericht kommt nicht in Betracht. Bei der neuen Entscheidung mit zu berücksichtigen sein wird auch der den Parteien zwischenzeitlich zugestellte Therapiebericht der Psychiatrischen Dienste Graubünden, Klinik Beverin, vom 7. Juli 2017, welcher der Vorinstanz erst am 17. Juli 2017 (und damit nach Ausfällen des angefochtenen Entscheids) zuging.</w:t>
      </w:r>
    </w:p>
    <w:p>
      <w:r>
        <w:rPr>
          <w:b/>
        </w:rPr>
        <w:t>E. 3</w:t>
      </w:r>
    </w:p>
    <w:p>
      <w:r>
        <w:t>Bei diesem Ausgang des Verfahrens sind keine Kosten zu erheben ( Art. 66 Abs. 4 BGG ) und hat der Kanton Basel-Landschaft dem Rechtsvertreter des Beschwerdeführers eine Entschädigung zu bezahlen ( Art. 68 Abs. 1 und 2 BGG ). Das Gesuch um unentgeltliche Rechtspflege und Verbeiständung nach Art. 64 BGG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