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1B_347/2014 vom 13. Januar 2015</w:t>
      </w:r>
    </w:p>
    <w:p>
      <w:r>
        <w:t>Bundesgericht, 2015-01-13, DE</w:t>
      </w:r>
    </w:p>
    <w:p>
      <w:r>
        <w:rPr>
          <w:b/>
        </w:rPr>
        <w:t xml:space="preserve">Quelle: </w:t>
      </w:r>
      <w:r>
        <w:t>https://mcp.opencaselaw.ch/entscheid/bger_1B_347_2014</w:t>
      </w:r>
    </w:p>
    <w:p>
      <w:r>
        <w:t>FR: TF 1B_347/2014 du 13 janvier 2015</w:t>
      </w:r>
    </w:p>
    <w:p>
      <w:r>
        <w:t>IT: TF 1B_347/2014 del 13 gennaio 2015</w:t>
      </w:r>
    </w:p>
    <w:p>
      <w:pPr>
        <w:pStyle w:val="Heading2"/>
      </w:pPr>
      <w:r>
        <w:t>Erwägungen</w:t>
      </w:r>
    </w:p>
    <w:p>
      <w:r>
        <w:rPr>
          <w:b/>
        </w:rPr>
        <w:t>E. 1.1</w:t>
      </w:r>
    </w:p>
    <w:p>
      <w:r>
        <w:t>Angefochten ist ein kantonal letztinstanzlicher Entscheid in einer Strafsache; dagegen steht die Beschwerde in Strafsachen offen ( Art. 78 Abs. 1, Art. 80 Abs. 1, Art. 90 BGG ). Er schliesst das Strafverfahren gegen den Beschwerdeführer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rPr>
          <w:b/>
        </w:rPr>
        <w:t>E. 1.2</w:t>
      </w:r>
    </w:p>
    <w:p>
      <w:r>
        <w:t>Der Beschwerdeführer macht geltend, nach BGE 139 IV 25 könne der angefochtene Entscheid einen nicht wiedergutzumachenden Nachteil bewirken.</w:t>
      </w:r>
    </w:p>
    <w:p>
      <w:r>
        <w:rPr>
          <w:b/>
        </w:rPr>
        <w:t>E. 1.2.1</w:t>
      </w:r>
    </w:p>
    <w:p>
      <w:r>
        <w:t>Im erwähnten Urteil hatte das Bundesgericht eine Beschwerde der Generalstaatsanwaltschaft gegen ein Urteil des Berner Obergerichts zu beurteilen, welches dem Beschuldigten gegen den Willen der Staatsanwaltschaft das Recht eingeräumt hatte, an den Einvernahmen von Mitbeschuldigten, Zeugen und Auskunftspersonen teilzunehmen. Wäre es dem Beschuldigten, wie die Staatsanwaltschaft befürchtete, gelungen, sein Teilnahmerecht zu missbrauchen und Mitbeschuldigte, Zeugen und Auskunftspersonen einzuschüchtern, sie sonstwie zu beeinflussen oder sich mit ihnen abzustimmen, wären diese Beweismittel unwiederbringlich entwertet worden. Der Staatsanwaltschaft drohte somit ein endgültiger und empfindlicher Beweisverlust und damit ein nicht wieder gutzumachender Nachteil im Sinn von Art. 93 Abs. 1 lit. a BGG , weshalb auf die Beschwerde der Generalstaatsanwaltschaft einzutreten war.</w:t>
      </w:r>
    </w:p>
    <w:p>
      <w:r>
        <w:rPr>
          <w:b/>
        </w:rPr>
        <w:t>E. 1.2.2</w:t>
      </w:r>
    </w:p>
    <w:p>
      <w:r>
        <w:t>Vorliegend ist zu beurteilen, ob der Beschuldigte einen nicht wieder gutzumachenden Nachteil dadurch erleiden kann, dass die Staatsanwaltschaft Beweise produziert, die unverwertbar sind, weil die Teilnahmerechte des Beschuldigten an Einvernahmen von Mitbeschuldigten, Auskunftspersonen und Zeugen verletzt worden sind. Diese Frage war im erwähnten BGE 139 IV 25 nicht zu beantworten. Allerdings hat sich das Bundesgericht in E. 1 in etwas allgemeiner Form zu den Eintretensvoraussetzungen geäussert. Könnte der Beschuldigte Beweisbeschlüsse und andere Zwischenentscheide im Untersuchungsverfahren aber ungeachtet der Voraussetzungen von Art. 92 und 93 BGG bis ans Bundesgericht anfechten, hätte er es in der Hand, das Verfahren gegen ihn durch das systematische Anfechten von derartigen Zwischenentscheiden zu verschleppen bzw. jedenfalls in komplexeren Fällen faktisch lahmzulegen. Es ist daher daran festzuhalten, dass in diesem Verfahrensstadium auch der Beschuldigte Beweisbeschlüsse nur unter der Voraussetzung vom Bundesgericht überprüfen lassen kann, dass sie einen nicht wiedergutzumachenden Nachteil im Sinn von Art. 93 Abs. 1 lit. a BGG bewirken können. Dies hat der Beschwerdeführer nach konstanter Praxis in der Beschwerde dazulegen, sofern es nicht in die Augen springt ( BGE 137 III 324 E. 1.1 mit Hinweisen).</w:t>
      </w:r>
    </w:p>
    <w:p>
      <w:r>
        <w:rPr>
          <w:b/>
        </w:rPr>
        <w:t>E. 1.2.3</w:t>
      </w:r>
    </w:p>
    <w:p>
      <w:r>
        <w:t>Produziert die Staatsanwaltschaft unverwertbare Beweise, indem sie Einvernahmen unter Verletzung der Teilnahmerechte des Beschuldigten durchführt, so können diese Einvernahmen auf gesetzeskonforme Weise wiederholt werden. Ob ein Beweis verwertbar ist, hat der Strafrichter vorfrageweise zu prüfen; die Parteien können ihm ihre Einwände vorbringen, über die er unverzüglich zu entscheiden hat (vgl. Art. 339 Abs. 2 lit. d und Abs. 3 StPO ). Solche Entscheidungen über Vorfragen sind zusammen mit dem Endentscheid anfechtbar ( Art. 398 StPO ) und mit Beschwerde in Strafsachen ans Bundesgericht weiterziehbar (Art. 78 Abs. 1 i.V.m. Art. 80 Abs. 1 BGG ). Produziert somit die Staatsanwaltschaft einen unverwertbaren Belastungsbeweis - etwa indem sie die Teilnahmerechte des Beschuldigten an einer Zeugeneinvernahme verletzt -, so kann dies der Beschuldigte dem Strafrichter zu Beginn der Hauptverhandlung vorbringen. Es droht ihm damit in aller Regel kein nicht wieder gutzumachender Nachteil, wenn er den entsprechenden Beweisbeschluss der Staatsanwaltschaft, in dem sie eine Einvernahme ansetzt und den Beschuldigten von der Teilnahme daran ausschliesst, nicht bereits vor dem Erlass des erstinstanzlichen Strafurteils vom Bundesgericht überprüfen lassen kann. Es ist nicht ersichtlich, inwiefern sich dies im vorliegenden Fall ausnahmsweise anders verhalten sollte. Auf die Beschwerde ist nicht einzutreten, weil der angefochtene Entscheid für den Beschwerdeführer keinen nicht wieder gutzumachenden Nachteil bewirken kann.</w:t>
      </w:r>
    </w:p>
    <w:p>
      <w:r>
        <w:rPr>
          <w:b/>
        </w:rPr>
        <w:t>E. 2</w:t>
      </w:r>
    </w:p>
    <w:p>
      <w:r>
        <w:t>Bei diesem Ausgang des Verfahrens würde der Beschwerdeführer an sich kostenpflichtig ( Art. 66 Abs. 1 BGG ). Er hat indessen ein Gesuch um unentgeltliche Rechtspflege und Verbeiständung gestellt, welches gutzuheissen ist, da die Beschwerde (insbesondere mit Blick auf BGE 139 IV 25 E.1) nicht von vornherein geradezu aussichtslos erschien und seine Bedürftigkeit als erstellt gelten kann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