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1B_345/2019 vom 24. März 2020</w:t>
      </w:r>
    </w:p>
    <w:p>
      <w:r>
        <w:t>Bundesgericht, 2020-03-24, DE</w:t>
      </w:r>
    </w:p>
    <w:p>
      <w:r>
        <w:rPr>
          <w:b/>
        </w:rPr>
        <w:t xml:space="preserve">Quelle: </w:t>
      </w:r>
      <w:r>
        <w:t>https://mcp.opencaselaw.ch/entscheid/bger_1B_345_2019</w:t>
      </w:r>
    </w:p>
    <w:p>
      <w:r>
        <w:t>FR: TF 1B_345/2019 du 24 mars 2020</w:t>
      </w:r>
    </w:p>
    <w:p>
      <w:r>
        <w:t>IT: TF 1B_345/2019 del 24 marzo 2020</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Die Beschwerdeführerin hat vor der Vorinstanz am Verfahren teilgenommen und ein rechtlich geschütztes Interesse an der Aufhebung des angefochtenen Entscheids. Sie ist deshalb gemäss Art. 81 Abs. 1 lit. a und b BGG zur Beschwerde berechtigt. Dass sie als durch die Beschlagnahme beschwerte Verfahrensbeteiligte nicht in der in Art. 81 Abs. 1 lit. b BGG enthaltenen Liste aufgeführt ist, ändert nichts, da diese - wie sich aus dem Wort "insbesondere" ergibt - die Beschwerdeberechtigten nicht abschliessend aufzählt ( BGE 133 IV 228 E. 2.3). Da die Vorinstanz am 5. Juli 2019 ein Wiedererwägungsgesuch der Beschwerdeführerin abgewiesen hat, hat diese nach wie vor ein aktuelles praktisches Interesse an der Behandlung der Beschwerde.</w:t>
      </w:r>
    </w:p>
    <w:p>
      <w:r>
        <w:rPr>
          <w:b/>
        </w:rPr>
        <w:t>E. 1.2.1</w:t>
      </w:r>
    </w:p>
    <w:p>
      <w:r>
        <w:t>Der angefochtene Entscheid schliesst das Strafverfahren nicht ab. Es handelt sich um einen Zwischenentscheid. Dieser betrifft weder die Zuständigkeit noch den Ausstand. Es geht somit um einen "anderen Zwischenentscheid" nach Art. 93 BGG . Gemäss Absatz 1 dieser Bestimmung ist dagegen die Beschwerde nur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t>Nach der Rechtsprechung muss es sich im Strafrecht beim nicht wieder gutzumachenden Nachteil gemäss Art. 93 Abs. 1 lit. a BGG um einen solchen rechtlicher Natur handeln. Ein solcher Nachteil liegt vor, wenn er auch durch einen für den Beschwerdeführer günstigen späteren Entscheid nicht mehr behoben werden kann ( BGE 144 IV 127 E. 1.3.1 S. 130). Ein lediglich tatsächlicher Nachteil wie die Verlängerung oder Verteuerung des Verfahrens genügt nicht. Das Erfordernis des nicht wieder gutzumachenden Nachteils rechtlicher Natur soll sicherstellen, dass sich das Bundesgericht soweit möglich nicht mehrmals mit einer Angelegenheit befassen muss ( BGE 144 III 475 E. 1.2 S. 479 mit Hinweisen).</w:t>
      </w:r>
    </w:p>
    <w:p>
      <w:r>
        <w:rPr>
          <w:b/>
        </w:rPr>
        <w:t>E. 1.2.2</w:t>
      </w:r>
    </w:p>
    <w:p>
      <w:r>
        <w:t>Wie sich dem Urteil des Strafgerichts (S. 167) entnehmen lässt, betreibt die Beschwerdeführerin keine Geschäftstätigkeit. Der angefochtene Entscheid führt dazu, dass sie den von Rechtsanwalt D.________ in Rechnung gestellten Betrag von Fr. 5'850.70 nicht bezahlen kann. Die Beschwerdeführerin legt nicht substanziiert dar und es ist nicht erkennbar, weshalb ihr dies einen nicht wieder gutzumachenden Nachteil rechtlicher Natur verursachen können sollte. Aufgrund des bundesgerichtlichen Urteils vom 12. März 2019 kann sie einen externen Rechtsbeistand im Strafverfahren mandatieren. Dieser kann ihre Rechte wahrnehmen (vgl. dazu das heutige konnexe Urteil 1B_351/2019). Daran ändert der angefochtene Entscheid nichts. Die Beschwerdeführerin erleidet keinen nicht wieder gutzumachenden Rechtsnachteil, wenn sie die Rechnung von Rechtsanwalt D.________ zurzeit nicht begleichen kann. Die Beschwerdeführerin kann den angefochtenen Entscheid mit dem vorinstanzlichen Endentscheid an das Bundesgericht weiterziehen ( Art. 93 Abs. 3 BGG ; BGE 135 III 329 E. 1.2.1 f. S. 332 ff.). Gibt ihr das Bundesgericht dann Recht und den von Rechtsanwalt D.________ verlangten Betrag ab dem gesperrten Konto frei, ist damit für sie jeder Nachteil behoben. Dasselbe gilt im Übrigen für Rechtsanwalt D.________, in dessen faktischem Interesse die Beschwerdeführerin Beschwerde erhebt. Kann demnach der von der Beschwerdeführerin geltend gemachte Nachteil durch einen für sie späteren günstigen bundesgerichtlichen Entscheid behoben werden, fehlt es am Erfordernis des nicht wieder gutzumachenden Nachteils rechtlicher Natur.</w:t>
      </w:r>
    </w:p>
    <w:p>
      <w:r>
        <w:t>Die Beschwerde ist deshalb unzulässig.</w:t>
      </w:r>
    </w:p>
    <w:p>
      <w:r>
        <w:rPr>
          <w:b/>
        </w:rPr>
        <w:t>E. 2</w:t>
      </w:r>
    </w:p>
    <w:p>
      <w:r>
        <w:t>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