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1B_344/2021 vom 1. Juli 2021</w:t>
      </w:r>
    </w:p>
    <w:p>
      <w:r>
        <w:t>Bundesgericht, 2021-07-01, DE</w:t>
      </w:r>
    </w:p>
    <w:p>
      <w:r>
        <w:rPr>
          <w:b/>
        </w:rPr>
        <w:t xml:space="preserve">Quelle: </w:t>
      </w:r>
      <w:r>
        <w:t>https://mcp.opencaselaw.ch/entscheid/bger_1B_344_2021</w:t>
      </w:r>
    </w:p>
    <w:p>
      <w:r>
        <w:t>FR: TF 1B_344/2021 du 1 juillet 2021</w:t>
      </w:r>
    </w:p>
    <w:p>
      <w:r>
        <w:t>IT: TF 1B_344/2021 del 1 luglio 2021</w:t>
      </w:r>
    </w:p>
    <w:p>
      <w:pPr>
        <w:pStyle w:val="Heading2"/>
      </w:pPr>
      <w:r>
        <w:t>Erwägungen</w:t>
      </w:r>
    </w:p>
    <w:p>
      <w:r>
        <w:rPr>
          <w:b/>
        </w:rPr>
        <w:t>E. 1</w:t>
      </w:r>
    </w:p>
    <w:p>
      <w:r>
        <w:t>Im Berufungsverfahren gegen das Urteil des Strafdreiergerichts vom 21. November 2016 verfügte der Präsident des Appellationsgerichts des Kantons Basel-Stadt am 25. Mai 2021:</w:t>
      </w:r>
    </w:p>
    <w:p>
      <w:r>
        <w:t>"1. Die Eingabe der B.________AG vom 12. Mai 2021 geht an die übrigen Parteien zur Kenntnisnahme.</w:t>
      </w:r>
    </w:p>
    <w:p>
      <w:r>
        <w:rPr>
          <w:b/>
        </w:rPr>
        <w:t>E. 2</w:t>
      </w:r>
    </w:p>
    <w:p>
      <w:r>
        <w:t>Angefochten ist die Verfügung des Appellationsgerichtspräsidenten in einer strafrechtlichen Angelegenheit. Sie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t>In Dispositiv-Ziffer 1 wird eine Eingabe den weiteren Verfahrensbeteiligten zur Kenntnisnahme zugestellt. Insoweit ist die Verfügung kantonal letztinstanzlich und damit grundsätzlich anfechtbar. Es ist indessen weder ersichtlich noch wird dargetan, inwiefern der Beschwerdeführer dadurch einen nicht wiedergutzumachenden Nachteil erleiden könnte. Der angefochtene Zwischenentscheid ist insoweit nicht anfechtbar.</w:t>
      </w:r>
    </w:p>
    <w:p>
      <w:r>
        <w:t>In Dispositiv-Ziffer 2 wird eine beschlagnahmte Geldsumme unter dem Vorbehalt von Einsprachen der Parteien freigegeben. Da gegen die Freigabe beim Appellationsgericht Einsprache erhoben werden kann, ist die Verfügung insoweit nicht letztinstanzlich und stellt damit auch diesbezüglich kein taugliches Anfechtungsobjekt dar ( Art. 80 Abs. 1 BGG ).</w:t>
      </w:r>
    </w:p>
    <w:p>
      <w:r>
        <w:rPr>
          <w:b/>
        </w:rPr>
        <w:t>E. 3</w:t>
      </w:r>
    </w:p>
    <w:p>
      <w:r>
        <w:t>Auf die Beschwerde ist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