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1B_344/2012 vom 19. Juni 2012</w:t>
      </w:r>
    </w:p>
    <w:p>
      <w:r>
        <w:t>Bundesgericht, 2012-06-19, FR</w:t>
      </w:r>
    </w:p>
    <w:p>
      <w:r>
        <w:rPr>
          <w:b/>
        </w:rPr>
        <w:t xml:space="preserve">Quelle: </w:t>
      </w:r>
      <w:r>
        <w:t>https://mcp.opencaselaw.ch/entscheid/bger_1B_344_2012</w:t>
      </w:r>
    </w:p>
    <w:p>
      <w:r>
        <w:t>FR: TF 1B_344/2012 du 19 juin 2012</w:t>
      </w:r>
    </w:p>
    <w:p>
      <w:r>
        <w:t>IT: TF 1B_344/2012 del 19 giugno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qui pèsent sur lui, mais il conteste l'existence d'un risque de récidive. Il soutient que les infractions qui lui sont reprochées ne compromettraient pas sérieusement la sécurité d'autrui. Il relève que, surpris par le propriétaire d'une voiture au mois de novembre 2010, il n'aurait pas réagi de manière violente et aurait attendu l'arrivée de la police. Lors de ses trois interpellations subséquentes, le recourant n'aurait fait preuve d'aucune violence. Il n'aurait aucun antécédent d'actes de violence.</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Le recourant est accusé d'avoir commis plus de quarante vols dans des véhicules, dont un certain nombre avec effraction. Il a déjà été condamné en 2008 pour des actes analogues et a réitéré, dans le cadre de la présente procédure, dès qu'il a été remis en liberté. Admis à la Fondation du Levant (institution d'accueil et de soutien aux personnes toxicodépendantes), il a fugué à plusieurs reprises, consommant diverses drogues et commettant à nouveau des vols. Il ressort du dossier, en particulier du rapport d'expertise psychiatrique déposé le 20 juillet 2011, que ces faits ont été commis soit sous l'effet de la drogue, soit pour trouver les moyens de s'en procurer. L'expert retient une schizophrénie différenciée et un syndrome de dépendance à la cocaïne et aux opiacés. Il considère qu'en l'absence d'une prise en charge médicale régulière, le risque de récidive est "significatif". A ce jour, le recourant n'a certes causé que des dégâts matériels, mais la cour cantonale a considéré que l'on ignorait la réaction de l'intéressé s'il était surpris lors de ses agissements. Le recourant relève qu'il n'a pas réagi de manière violente alors qu'il avait été trouvé en flagrant délit, ainsi que lors des interpellations ultérieures. Toutefois, compte tenu des troubles mis en évidence par l'expert, notamment des symptômes de dépendance aux drogues, on ne saurait exclure, dans une situation de manque ou face à une résistance opposée par une victime, que le recourant ne réagisse de manière imprévisible, voire violente. Dans ces conditions, on peut admettre que l'activité délictueuse déployée par le recourant est de nature à compromettre sérieusement la sécurité au sens de l' art. 221 al. 1 let . c CPP.</w:t>
      </w:r>
    </w:p>
    <w:p>
      <w:r>
        <w:t>Au demeurant, la doctrine admet aussi que l'on peut retenir un risque de récidive lorsqu'il s'agit, conformément au principe de célérité, d'éviter que la procédure ne soit sans cesse compliquée et prolongée par la commission de nouveaux délits (PIQUEREZ/MACALUSO, Procédure pénale suisse, 3ème édition, n° 1198 p. 419; SCHMOCKER, Commentaire Romand CPP, n° 17 ad art. 221). Tel est le cas en l'espèce: la procédure a été ouverte au mois de novembre 2010 et le recourant a récidivé chaque fois qu'il s'est trouvé en liberté.</w:t>
      </w:r>
    </w:p>
    <w:p>
      <w:r>
        <w:t>Le grief doit dès lors être rejeté.</w:t>
      </w:r>
    </w:p>
    <w:p>
      <w:r>
        <w:rPr>
          <w:b/>
        </w:rPr>
        <w:t>E. 4</w:t>
      </w:r>
    </w:p>
    <w:p>
      <w:r>
        <w:t>Invoquant le principe de la proportionnalité, le recourant estime que, compte tenu de la responsabilité qualifiée de moyenne par l'expert, la détention provisoire (soit, au dépôt du recours, 284 jours et 34 jours de mesure de substitution) serait disproportionnée par rapport à la peine encourue. Le recourant relève qu'il ne risque pas de révocation de sursis, et qu'il conteste un certain nombre de vols, ce qui ne permettrait pas de retenir l'infraction par métier. En outre, l'audience de jugement ne pourrait intervenir à brève échéance, l'acte d'accusation n'étant pas encore rédigé.</w:t>
      </w:r>
    </w:p>
    <w:p>
      <w:r>
        <w:rPr>
          <w:b/>
        </w:rPr>
        <w:t>E. 4.1</w:t>
      </w:r>
    </w:p>
    <w:p>
      <w:r>
        <w:t>En vertu des art. 31 al. 3 Cst. et 5 par. 3 CEDH, toute personne qui est mise en détention provisoire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rPr>
          <w:b/>
        </w:rPr>
        <w:t>E. 4.2</w:t>
      </w:r>
    </w:p>
    <w:p>
      <w:r>
        <w:t>Compte tenu du nombre de vols reprochés au recourant, la cour cantonale pouvait envisager non seulement l'application des règles sur le concours d'infractions, mais aussi la circonstance aggravante du métier ( art. 139 ch. 2 CP ). Cela implique la possibilité d'une condamnation à une peine de privation de liberté nettement plus longue que les quelque huit mois de détention provisoire et de mesures de substitution subis à ce jour par le recourant.</w:t>
      </w:r>
    </w:p>
    <w:p>
      <w:r>
        <w:rPr>
          <w:b/>
        </w:rPr>
        <w:t>E. 5</w:t>
      </w:r>
    </w:p>
    <w:p>
      <w:r>
        <w:t>Celui-ci reproche enfin à la cour cantonale d'avoir refusé d'ordonner des mesures de substitution à la détention en application de l' art. 237 CPP . L'expert propose en effet un traitement institutionnel assorti d'une prise en charge des troubles schizophrènes, tout en préconisant un établissement du même type que celui du Levant, auprès duquel le recourant dispose déjà d'une place. Le recourant propose aussi le port d'un bracelet électronique ou l'obligation de se soumettre à des contrôles d'urine réguliers.</w:t>
      </w:r>
    </w:p>
    <w:p>
      <w:r>
        <w:t>La cour cantonale a considéré, à juste titre que le recourant avait fugué à plusieurs reprises de l'établissement, pour consommer de la drogue et commettre des vols. Les mesures préconisées, même assorties de contrôles réguliers, apparaissent dès lors insuffisantes en l'état pour prévenir une récidive en cas de libération immédiate du recourant. Le port d'un bracelet électronique n'est pas susceptible non plus de prévenir des infractions telles que celles qui sont reprochées au recourant. S'il n'est pas exclu qu'un traitement soit indiqué en l'espèce, comme le préconise l'expert, il appartiendra plutôt au juge du fond d'examiner cette question. En l'état, les mesures proposées ne permettent pas d'atteindre le même but que la détention, de sorte que ce grief doit lui aussi être rejeté.</w:t>
      </w:r>
    </w:p>
    <w:p>
      <w:r>
        <w:rPr>
          <w:b/>
        </w:rPr>
        <w:t>E. 6</w:t>
      </w:r>
    </w:p>
    <w:p>
      <w:r>
        <w:t>Sur le vu de ce qui précède, le recours doit être rejeté. Le recourant a demandé l'assistance judiciaire et les conditions en paraissent réunies. Me Gonzalez Pennec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