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344/2011 vom 14. Oktober 2011</w:t>
      </w:r>
    </w:p>
    <w:p>
      <w:r>
        <w:t>Bundesgericht, 2011-10-14, DE</w:t>
      </w:r>
    </w:p>
    <w:p>
      <w:r>
        <w:rPr>
          <w:b/>
        </w:rPr>
        <w:t xml:space="preserve">Quelle: </w:t>
      </w:r>
      <w:r>
        <w:t>https://mcp.opencaselaw.ch/entscheid/bger_1B_344_2011</w:t>
      </w:r>
    </w:p>
    <w:p>
      <w:r>
        <w:t>FR: TF 1B 344/2011 du 14 octobre 2011</w:t>
      </w:r>
    </w:p>
    <w:p>
      <w:r>
        <w:t>IT: TF 1B 344/2011 del 14 ottobre 2011</w:t>
      </w:r>
    </w:p>
    <w:p>
      <w:pPr>
        <w:pStyle w:val="Heading2"/>
      </w:pPr>
      <w:r>
        <w:t>Regeste</w:t>
      </w:r>
    </w:p>
    <w:p>
      <w:r>
        <w:t>Wechsel der amtlichen Verteidigung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und b Ziff. 1 BGG zur Beschwerde befugt.</w:t>
      </w:r>
    </w:p>
    <w:p>
      <w:r>
        <w:rPr>
          <w:b/>
        </w:rPr>
        <w:t>E. 1.4</w:t>
      </w:r>
    </w:p>
    <w:p>
      <w:r>
        <w:t>Der angefochtene Entscheid schliesst das Strafverfahren nicht ab. Es handelt sich um einen Zwischenentscheid nach Art. 93 BGG . Dagegen ist gemäss Absatz 1 dieser Bestimmung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Der Beschwerdeführer muss - sofern das nicht offensichtlich ist - begründen, weshalb ein Zwischenentscheid gemäss Art. 93 Abs. 1 BGG anfechtbar sein soll ( BGE 133 III 629 E. 2.3.1 und 2.4.2; Urteile 1B_294/2008 vom 27. Mai 2009 E. 1.5; 5A_27/2008 vom 20. Mai 2008 E. 3; 4A_109/2007 vom 30. Juli 2007 E. 2.4). Der Beschwerdeführer äussert sich nicht dazu, weshalb hier die Eintretensvoraussetzungen nach Art. 93 Abs. 1 BGG erfüllt sein sollen. Es stellt sich somit die Frage, ob dies offensichtlich sei. Das ist nicht der Fall. Die Variante nach Art. 93 Abs. 1 lit. b BGG fällt von vornherein ausser Betracht, da mit der Gutheissung der Beschwerde kein Endentscheid herbeigeführt werden könnte. Auch ein nicht wieder gutzumachender Nachteil gemäss Art. 93 Abs. 1 lit. a BGG ist nicht ohne Weiteres erkennbar. Es muss sich insoweit um einen Nachteil rechtlicher Natur handeln, der auch mit einem späteren günstigen Endentscheid nicht vollständig behoben werden kann ( BGE 134 III 188 E. 2.1 f. S. 190 f. mit Hinweisen). Nach der Rechtsprechung hat die Abweisung eines Gesuches um Wechsel des amtlichen Verteidigers unter Vorbehalt besonderer Umstände keinen nicht wieder gutzumachenden rechtlichen Nachteil zur Folge, da dem Gesuchsteller, anders als im Falle der Verweigerung der unentgeltlichen Verbeiständung, auf jeden Fall ein Verteidiger zur Seite steht, welcher die Waffengleichheit und damit ein faires Verfahren sicherstellt ( BGE 133 IV 335 E. 4 S. 339 ; 126 I 207 E. 2b S. 211). Besondere Umstände, welche die Annahme eines nicht wieder gutzumachenden Nachteils rechtfertigen, liegen vor, wenn zu befürchten ist, dass der amtliche Verteidiger die Interessen des Beschuldigten nicht wirksam vertritt. Dies ist z.B. der Fall bei einem Interessenkonflikt oder bei offenkundig ungenügender Verteidigung (vgl. BGE 124 I 185 E. 3b S. 189 f.; Urteile 1B_245/2008 vom 11. November 2008 E. 2; 1B_237/2007 vom 8. Januar 2008 E. 1.7). Einen Interessenkonflikt macht der Beschwerdeführer nicht geltend. Eine offenkundig ungenügende Verteidigung ist ebenso wenig ersichtlich. Der Umstand, dass die amtliche Verteidigerin dem Beschwerdeführer geraten haben soll, ein Geständnis abzulegen, spricht nicht gegen eine wirksame Verteidigung. Ein Geständnis kann je nach den Umständen im Interesse des Beschuldigten liegen. Die amtliche Verteidigerin hat sodann an sämtlichen Einvernahmen teilgenommen. Ein offenkundiger Mangel der amtlichen Verteidigung ist auch insoweit nicht auszumachen. Sind demnach die Voraussetzungen nach Art. 93 Abs. 1 BGG nicht offensichtlich gegeben, kann auf die Beschwerde nicht eingetreten werden.</w:t>
      </w:r>
    </w:p>
    <w:p>
      <w:r>
        <w:rPr>
          <w:b/>
        </w:rPr>
        <w:t>E. 2</w:t>
      </w:r>
    </w:p>
    <w:p>
      <w:r>
        <w:t>Da sie aussichtslos war, kann die unentgeltliche Rechtspflege und Verbeiständung nach Art. 64 BGG nicht bewilligt werden. Der Beschwerdeführer befindet sich seit über einem halben Jahr in Haft. Mit Blick darauf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