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344/2009 vom 30. November 2009</w:t>
      </w:r>
    </w:p>
    <w:p>
      <w:r>
        <w:t>Bundesgericht, 2009-11-30, DE</w:t>
      </w:r>
    </w:p>
    <w:p>
      <w:r>
        <w:rPr>
          <w:b/>
        </w:rPr>
        <w:t xml:space="preserve">Quelle: </w:t>
      </w:r>
      <w:r>
        <w:t>https://mcp.opencaselaw.ch/entscheid/bger_1B_344_2009</w:t>
      </w:r>
    </w:p>
    <w:p>
      <w:r>
        <w:t>FR: TF 1B 344/2009 du 30 novembre 2009</w:t>
      </w:r>
    </w:p>
    <w:p>
      <w:r>
        <w:t>IT: TF 1B 344/2009 del 30 novembre 2009</w:t>
      </w:r>
    </w:p>
    <w:p>
      <w:pPr>
        <w:pStyle w:val="Heading2"/>
      </w:pPr>
      <w:r>
        <w:t>Regeste</w:t>
      </w:r>
    </w:p>
    <w:p>
      <w:r>
        <w:t>Gesuch um aufschiebende Wirkung | Strafprozess</w:t>
      </w:r>
    </w:p>
    <w:p>
      <w:pPr>
        <w:pStyle w:val="Heading2"/>
      </w:pPr>
      <w:r>
        <w:t>Erwägungen</w:t>
      </w:r>
    </w:p>
    <w:p>
      <w:r>
        <w:rPr>
          <w:b/>
        </w:rPr>
        <w:t>E. 1</w:t>
      </w:r>
    </w:p>
    <w:p>
      <w:r>
        <w:t>Am 16. Oktober 2009 erhob X.________ in dem vor dem Einzelrichter des Kantonsgerichts von Appenzell Ausserrhoden hängigen Verfahren ER3 08 275 eine Rechtsverweigerungsbeschwerde. Dabei ersuchte er um Gewährung der aufschiebenden Wirkung. Mit Entscheid vom 13. November 2009 hat der Präsident der Justizaufsichtskommission des Obergerichts von Appenzell Ausserrhoden das Gesuch abgewiesen. Hiergegen führt X.________ Beschwerde ans Bundesgericht. Bei den gegebenen Verhältnissen hat dieses davon abgesehen, Stellungnahmen einzuholen.</w:t>
      </w:r>
    </w:p>
    <w:p>
      <w:r>
        <w:rPr>
          <w:b/>
        </w:rPr>
        <w:t>E. 2</w:t>
      </w:r>
    </w:p>
    <w:p>
      <w:r>
        <w:t>Nach Art. 42 Abs. 2 BGG ist in der Beschwerdebegründung - unabhängig von der Art des nach BGG offen stehenden Rechtsmittels - in gedrängter Form darzulegen, inwiefern der angefochtene Entscheid Recht verletzt (s. in diesem Zusammenhang auch BGE 134 I 313 E. 2 S. 315 sowie 134 II 349 E. 3 S. 351 f.; 133 II 249 insb. E. 1.4 S. 254). Die Bestimmungen von Art. 95 ff. BGG nennen die vor Bundesgericht zulässigen Beschwerdegründe. Der Beschwerdeführer kritisiert den angefochtenen Entscheid auf ganz allgemeine Weise. Dabei legt er indes nicht im Einzelnen dar, inwiefern dessen Begründung bzw. der Entscheid im Ergebnis rechts- bzw. verfassungswidrig sein soll. Mangels einer hinreichenden Begründung ist daher auf die Beschwerde nicht einzutreten. Der Begründungsmangel ist offensichtlich, weshalb über die Beschwerde im vereinfachten Verfahren nach Art. 108 Abs. 1 lit. b BGG entschieden werden kann. Ergibt sich das Nichteintreten bereits aus dem genannten Grunde, sind die übrigen Eintretensvoraussetzungen - namentlich diejenigen nach Art. 93 Abs. 1 BGG - nicht weiter zu erörtern.</w:t>
      </w:r>
    </w:p>
    <w:p>
      <w:r>
        <w:rPr>
          <w:b/>
        </w:rPr>
        <w:t>E. 3</w:t>
      </w:r>
    </w:p>
    <w:p>
      <w:r>
        <w:t>Angesichts der Aussichtslosigkeit des vorliegenden Verfahrens ist dem Gesuch um unentgeltliche Rechtspflege nicht zu stattzugeben ( Art. 64 BGG ).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