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1B_342/2021 vom 13. Juli 2021</w:t>
      </w:r>
    </w:p>
    <w:p>
      <w:r>
        <w:t>Bundesgericht, 2021-07-13, FR</w:t>
      </w:r>
    </w:p>
    <w:p>
      <w:r>
        <w:rPr>
          <w:b/>
        </w:rPr>
        <w:t xml:space="preserve">Quelle: </w:t>
      </w:r>
      <w:r>
        <w:t>https://mcp.opencaselaw.ch/entscheid/bger_1B_342_2021</w:t>
      </w:r>
    </w:p>
    <w:p>
      <w:r>
        <w:t>FR: TF 1B_342/2021 du 13 juillet 2021</w:t>
      </w:r>
    </w:p>
    <w:p>
      <w:r>
        <w:t>IT: TF 1B_342/2021 del 13 luglio 2021</w:t>
      </w:r>
    </w:p>
    <w:p>
      <w:pPr>
        <w:pStyle w:val="Heading2"/>
      </w:pPr>
      <w:r>
        <w:t>Erwägungen</w:t>
      </w:r>
    </w:p>
    <w:p>
      <w:r>
        <w:rPr>
          <w:b/>
        </w:rPr>
        <w:t>E. 1</w:t>
      </w:r>
    </w:p>
    <w:p>
      <w:r>
        <w:t>Le recours en matière pénale ( art. 78 al. 1 LTF ) est ouvert contre une décision relative au maintien en détention provisoire au sens des art. 212 ss CPP . Selon l'art. 81 al. 1 let. a et let. b ch. 1 LTF, le recourant, prévenu et détenu, a qualité pour recourir. L'arrêt attaqué représente une décision incidente qui peut causer un préjudice irréparable au recourant au sens de l' art. 93 al. 1 let. a LTF (arrêt 1B_305/2021 du 29 juin 2021 consid. 1.1). Pour le surplus, le recours a été formé en temps utile ( art. 100 al. 1 LTF ) contre une décision rendue en dernière instance cantonale ( art. 80 al. 1 LTF ) et les conclusions présentées sont recevables au regard de l' art. 107 al. 2 LTF . Partant, il y a lieu d'entrer en matière.</w:t>
      </w:r>
    </w:p>
    <w:p>
      <w:r>
        <w:rPr>
          <w:b/>
        </w:rPr>
        <w:t>E. 2</w:t>
      </w:r>
    </w:p>
    <w:p>
      <w:r>
        <w:t>Dans deux griefs qu'il convient d'examiner en commun, le recourant se plaint d'une constatation manifestement inexacte des faits et d'une violation de l' art. 221 al. 1 CPP en ce sens qu'il n'existerait pas de sérieux soupçons de culpabilité à son égard.</w:t>
      </w:r>
    </w:p>
    <w:p>
      <w:r>
        <w:t>2.1.1.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 ATF 145 I 26 consid. 1.3; 142 III 364 consid. 2.4; 139 II 404 consid. 10.1).</w:t>
      </w:r>
    </w:p>
    <w:p>
      <w:r>
        <w:t>2.1.2. Pour qu'une personne soit placée en détention provisoire ou pour des motifs de sûreté, il doit exister à son égard des charges suffisantes ou des indices sérieux de culpabilité, susceptibles de fonder de forts soupçons d'avoir commis une infraction ( art. 221 al. 1 CPP ).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 ATF 143 IV 330 consid. 2.1; 143 IV 316 consid. 3.1 et 3.2).</w:t>
      </w:r>
    </w:p>
    <w:p>
      <w:r>
        <w:rPr>
          <w:b/>
        </w:rPr>
        <w:t>E. 2.2</w:t>
      </w:r>
    </w:p>
    <w:p>
      <w:r>
        <w:t>Le recourant reconnaît être monté dans la voiture de B.________ le jour de l'interpellation de ce dernier le 22 août 2019, mais affirme n'être qu'un simple consommateur de celui-ci et non pas son fournisseur. Il reproche à l'instance précédente d'avoir arbitrairement retenu qu'il aurait remis à B.________ quelque 177 g de cocaïne en bloc et d'avoir exclu qu'il n'était que simple consommateur de cocaïne et client potentiel ciblé par B.________. Le recourant soutient notamment que les déclarations de B.________ sont vagues et que celui-ci s'est borné à faire mention d'un " fournisseur " dont il a décidé de taire le nom. De plus, aucune des perquisitions réalisées n'aurait permis de démontrer qu'il aurait été en possession de produits stupéfiants ou d'importantes sommes d'argent. Le recourant fait encore grief à l'instance précédente d'avoir arbitrairement considéré que l'origine de son soi-disant confort matériel serait douteuse, dès lors qu'il a exposé avoir bénéficié d'un gain immobilier de 90'000 euros (vente de son appartement en France), qu'il cumulait deux emplois et que son épouse gagnait un salaire mensuel de 10'000 fr. Il conteste également son implication dans le restaurant "C.________" telle que retenue par l'instance précédente; il fait en particulier valoir que les initiales utilisées pour l'enseigne du restaurant n'avaient pas été choisies en référence à son nom, mais à celui de sa soeur qui serait propriétaire de l'établissement et titulaire de la patente.</w:t>
      </w:r>
    </w:p>
    <w:p>
      <w:r>
        <w:t>Ce faisant, le recourant conteste l'appréciation des faits à laquelle la cour cantonale a procédé. Les griefs ont avant tout trait à l'examen de la réalisation d'une condition posée à l' art. 221 CPP , à savoir l'existence de forts soupçons de culpabilité à l'encontre du recourant. Sur ce point, la cour cantonale n'a pas ignoré les dénégations du recourant qui a exposé qu'il était un simple consommateur de drogue, que B.________ voulait lui vendre de la cocaïne et qu'il avait bêtement touché celle-ci "sous l'émotion". La cour cantonale pouvait cependant à juste titre considérer que les charges pesant sur le recourant du chef d'infraction grave à la LStup étaient suffisantes. Celles-ci se fondent notamment sur les déclarations de B.________ aux termes desquelles la cocaïne en question (177 g bruts) venait de lui être remise - 10 minutes avant son interpellation - par son fournisseur qui l'aurait déposée dans la boîte à gants de son véhicule après y être monté un court instant. Le fait que les empreintes digitales du recourant ont été relevées sur les sacs plastiques contenant ladite cocaïne constitue également un indice de culpabilité. Comme relevé par l'instance précédente, il est difficilement compréhensible que B.________ ait offert au recourant de lui vendre plus de 170 g de cocaïne si ce dernier n'était qu'un simple consommateur, comme il l'affirme. De plus, le Tmc a souligné que les retranscriptions des enregistrements issus de la surveillance acoustique du véhicule du recourant, annexées au procès-verbal d'audition du 10 février 2021, étayaient les soupçons selon lesquels le recourant était impliqué dans un important trafic de stupéfiants, dès lors que les conversations faisaient état de sommes d'argents dues, de drogues et de propos tels que "je lui dis tu me ramènes pas mon argent, je te casse les deux genoux" (cf. ordonnance du Tmc 13 février 2021). Il sied dans ce contexte de rappeler au recourant qu'il n'appartient pas au juge de la détention provisoire de procéder à une appréciation complète des éléments à charge et à décharge; il lui incombe uniquement de vérifier, sous l'angle de la vraisemblance, que le maintien en détention avant jugement repose sur des indices de culpabilité suffisants (cf. consid. 2.1.2 ci-dessus). Or, tel est le cas en l'espèce, au vu des éléments précités. En l'état, il n'est pas nécessaire d'examiner plus avant la critique du recourant en lien avec ses moyens financiers, ni de savoir si le restaurant " C.________ " fait allusion à ses initiales ou à celles de sa soeur.</w:t>
      </w:r>
    </w:p>
    <w:p>
      <w:r>
        <w:t>Compte tenu de ce qui précède, l'appréciation de la cour cantonale, selon laquelle il existait de forts soupçons à l'encontre du recourant, est dénuée d'arbitraire et ne viole pas l' art. 221 al. 1 CPP .</w:t>
      </w:r>
    </w:p>
    <w:p>
      <w:r>
        <w:rPr>
          <w:b/>
        </w:rPr>
        <w:t>E. 3</w:t>
      </w:r>
    </w:p>
    <w:p>
      <w:r>
        <w:t>Le recourant reproche ensuite à l'autorité précédente d'avoir considéré qu'il existerait un risque de collusion au sens de l' art. 221 al. 1 let. b CPP , respectivement que celui-ci ne pourrait pas être réduit par la mesure de substitution proposée devant la cour cantonale, à savoir l'interdiction d'entrer en contact, par tout moyen ou support que ce soit, avec sa soeur.</w:t>
      </w:r>
    </w:p>
    <w:p>
      <w:r>
        <w:rPr>
          <w:b/>
        </w:rPr>
        <w:t>E. 3.1</w:t>
      </w:r>
    </w:p>
    <w:p>
      <w:r>
        <w:t>Conformément à l' art. 221 al. 1 let. b CPP ,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w:t>
      </w:r>
    </w:p>
    <w:p>
      <w:r>
        <w:t>Selon la jurisprudence, il peut notamment y avoir collusion lorsque le prévenu tente d'influencer les déclarations que pourraient faire des témoins, des personnes appelées à donner des renseignements, des experts et/ou des co-prévenus, ainsi que lorsque le prévenu essaie de faire disparaître des traces ou des moyens de preuve. En tant que motif de détention avant jugement, le danger de collusion vise à empêcher le prévenu de mettre en danger la recherche de la vérité ( ATF 132 I 21 consid. 3.2; arrêt 1B_578/2020 du 30 novembre 2020 consid. 3.1).</w:t>
      </w:r>
    </w:p>
    <w:p>
      <w:r>
        <w:t>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132 I 21 consid. 3.2 et les réf. cit.). Plus l'instruction se trouve à un stade avancé et les faits sont établis avec précision, plus les exigences relatives à la preuve de l'existence d'un risque de collusion sont élevées ( ATF 137 IV 122 consid. 4.2; 132 I 21 consid. 3.2.2).</w:t>
      </w:r>
    </w:p>
    <w:p>
      <w:r>
        <w:rPr>
          <w:b/>
        </w:rPr>
        <w:t>E. 3.2</w:t>
      </w:r>
    </w:p>
    <w:p>
      <w:r>
        <w:t>En l'espèce, le Tribunal cantonal a considéré qu'il était évident qu'une remise en liberté du recourant, à ce stade, lui permettrait d'entraver la recherche de ses clients, ainsi que toutes les autres mesures d'instruction, au nombre desquelles l'analyse, actuellement en cours, des comptes du restaurant exploité par sa soeur, dans lequel le recourant aurait investi de l'argent. L'instance précédente a souligné qu'il paraissait en outre ressortir des enregistrements sonores, dont se prévalait le Ministère public, que le prévenu ne reculait pas devant l'intimidation, sinon les menaces, pour parvenir à ses fins. Dans ces circonstances, elle a considéré qu'aucune mesure de substitution (cf. l' art. 237 CPP ) n'apparaissait propre à pallier le risque de collusion.</w:t>
      </w:r>
    </w:p>
    <w:p>
      <w:r>
        <w:t>Le recourant critique cette appréciation, affirmant que le risque de collusion serait purement abstrait. Il soutient notamment que si la surveillance préalable n'a pas permis d'identifier une quelconque "clientèle", sa remise en liberté ne serait pas susceptible d'entraver la recherche d'une telle clientèle. De plus, il serait absurde d'imaginer qu'une fois remis en liberté, il pourrait influer sur l'analyse de la documentation comptable déjà en mains de la justice.</w:t>
      </w:r>
    </w:p>
    <w:p>
      <w:r>
        <w:t>Contrairement à ce que soutient le recourant, l'appréciation de l'instance précédente peut être confirmée. Au vu des investigations qui sont encore en cours dans le cadre de cette instruction menée à l'encontre du recourant, il convient effectivement d'éviter que celui-ci ne tente d'influencer des témoignages qui pourraient s'avérer déterminants ou qu'il fasse disparaître des preuves. Le Ministère public a à cet égard souligné que l'ampleur du trafic de produits stupéfiants réalisé par le recourant n'avait pas encore pu être déterminée avec précision. De plus, la soeur du recourant qui exploite le restaurant " C.________ " - dont les comptes sont en cours d'analyse - doit encore être entendue par la police (après plusieurs reports pour cause de maladie), notamment au sujet du financement de l'achat dudit restaurant. Le fait que sa soeur pourrait, comme l'évoque le recourant, refuser de déposer, respectivement de témoigner, lors de ses auditions n'apparaît pas décisif.</w:t>
      </w:r>
    </w:p>
    <w:p>
      <w:r>
        <w:t>Il sied également de relever, à l'instar du Ministère public, que le recourant s'est peu déterminé sur les éléments qui lui sont reprochés, malgré les preuves qui lui ont été présentés; il a par ailleurs eu des déclarations pour le moins contradictoires, notamment sur ses liens avec B.________ et sur les propos qu'il a tenus dans sa voiture lorsqu'il profère des menaces à l'encontre de tiers qui lui doivent de l'argent. Ces éléments laissent craindre que le recourant ne prenne certaines mesures de nature à entraver la manifestation de la vérité s'il était remis en liberté. Quant à son prétendu caractère intimidant et menaçant, le recourant soutient qu'il s'agit de simples déductions tirées des écoutes réalisées par la police, précisant qu'il n'existerait à ce jour aucune plainte déposée contre lui pour intimidation ou menaces. Le recourant méconnaît cependant qu'il a été condamné en France à cinq ans d'emprisonnement pour vol avec violence commis en 2000 (cf. procès-verbal de l'audition d'arrestation du 11 février 2021 p. 41 ss), ainsi qu'en Suisse en 2017 à une peine pécuniaire de 60 jours-amende, avec sursis pendant deux ans, et à une amende, pour lésions corporelles simples et menaces notamment. On ne saurait dès lors suivre le recourant, lorsqu'il affirme en substance qu'il n'y aurait aucun élément concret permettant de craindre qu'il exerce une quelconque pression sur des témoins ou des parties à la procédure.</w:t>
      </w:r>
    </w:p>
    <w:p>
      <w:r>
        <w:t>Au regard de ces considérations, la cour cantonale pouvait, à bon droit, confirmer l'existence d'un risque de collusion, sans examiner plus avant le risque de fuite également retenu par le Tmc.</w:t>
      </w:r>
    </w:p>
    <w:p>
      <w:r>
        <w:rPr>
          <w:b/>
        </w:rPr>
        <w:t>E. 3.3</w:t>
      </w:r>
    </w:p>
    <w:p>
      <w:r>
        <w:t>Conformément au principe de la proportionnalité ( art. 36 al. 3 Cst. ), il convient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ces mesures permettent d'atteindre le même but que la détention.</w:t>
      </w:r>
    </w:p>
    <w:p>
      <w:r>
        <w:t>La mesure de substitution proposée par le recourant, sous la forme d'une interdiction d'entrer en contact, par tout moyen ou support que ce soit, avec sa soeur, apparaît insuffisante au regard de la nature du risque de collusion constaté. Le recourant méconnaît en particulier qu'il existe non seulement un risque de collusion par rapport à sa soeur, mais également par rapport à d'autres personnes telles que ses clients et éventuels complices. La mesure proposée ne permet ainsi pas de pallier le risque d'atteinte à la recherche de la vérité. Quant aux nombreux éléments que le recourant invoque en lien avec sa situation personnelle et familiale, ils ne sont pas propres à écarter la réalisation du risque de collusion redouté. Quoi qu'en pense le recourant, la cour cantonale pouvait, sans violer le droit fédéral, confirmer qu'aucune mesure de substitution ne permettait, en l'état, de pallier le risque de collusion retenu à son encontre.</w:t>
      </w:r>
    </w:p>
    <w:p>
      <w:r>
        <w:rPr>
          <w:b/>
        </w:rPr>
        <w:t>E. 3.4</w:t>
      </w:r>
    </w:p>
    <w:p>
      <w:r>
        <w:t>Le principe de la proportionnalité n'est à ce jour pas non plus violé par la durée de la détention déjà subie par le recourant (soit un peu plus de trois mois au jour de l'arrêt attaqué), au regard des infractions qui lui sont reprochées, dont la plus grave est à elle seule passible d'une peine privative de liberté d'un an au moins (cf. art. 19 al. 2 let. a LStup ).</w:t>
      </w:r>
    </w:p>
    <w:p>
      <w:r>
        <w:rPr>
          <w:b/>
        </w:rPr>
        <w:t>E. 4</w:t>
      </w:r>
    </w:p>
    <w:p>
      <w:r>
        <w:t>Il s'ensuit que le recours doit être rejeté. Les conclusions du recours étant d'emblée vouées à l'échec, il y a lieu de rejeter la demande d'assistance judiciaire ( art. 64 al. 1 LTF ) et de mettre les frais judiciaires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