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1B_342/2009 vom 3. Juni 2010</w:t>
      </w:r>
    </w:p>
    <w:p>
      <w:r>
        <w:t>Bundesgericht, 2010-06-03, DE</w:t>
      </w:r>
    </w:p>
    <w:p>
      <w:r>
        <w:rPr>
          <w:b/>
        </w:rPr>
        <w:t xml:space="preserve">Quelle: </w:t>
      </w:r>
      <w:r>
        <w:t>https://mcp.opencaselaw.ch/entscheid/bger_1B_342_2009</w:t>
      </w:r>
    </w:p>
    <w:p>
      <w:r>
        <w:t>FR: TF 1B_342/2009 du 3 juin 2010</w:t>
      </w:r>
    </w:p>
    <w:p>
      <w:r>
        <w:t>IT: TF 1B_342/2009 del 3 giugno 2010</w:t>
      </w:r>
    </w:p>
    <w:p>
      <w:pPr>
        <w:pStyle w:val="Heading2"/>
      </w:pPr>
      <w:r>
        <w:t>Erwägungen</w:t>
      </w:r>
    </w:p>
    <w:p>
      <w:r>
        <w:rPr>
          <w:b/>
        </w:rPr>
        <w:t>E. 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Bei Beschwerden gegen die Ablehnung von Beweisanträgen im Strafuntersuchungsverfahren ist diese Sachurteilsvoraussetzung in der Regel nicht erfüllt (vgl. 133 IV 139 E. 4 S. 141; 99 Ia 437 E. 1 S. 438 ; 97 I 1 E. 1a S. 2 ; 96 I 462 E. 3a S. 464 f.; je mit Hinweisen; Urteil 1B_226/2007 vom 11. Januar 2008 E. 3; s. auch BGE 134 IV 43 ). Ein Nachteil im Sinne von Art. 93 Abs. 1 lit. a BGG kann allenfalls bei drohendem Beweisverlust gegeben sein (vgl. Urteile 1B_301/2009 vom 31. März 2010 E. 1.1-1.2; 1B_161/2008 vom 27. November 2008 E. 3; 1B_226/2007 vom 11. Januar 2008 E. 3.2-3.4; 4P.335/2006 vom 27. Februar 2007 E. 1.2.4).</w:t>
      </w:r>
    </w:p>
    <w:p>
      <w:r>
        <w:rPr>
          <w:b/>
        </w:rPr>
        <w:t>E. 2</w:t>
      </w:r>
    </w:p>
    <w:p>
      <w:r>
        <w:t>Die Beschwerdeführerin beanstandet die Nichtvornahme einer Untersuchungshandlung durch die kantonalen Strafjustizbehörden. Sie macht geltend, die streitige Vorladung zur Einvernahme sei vom Obergericht zu Unrecht aufgehoben worden. Da es ihr als Privatstrafklägerin dadurch verunmöglicht werde, "dem Angeschuldigten Fragen zu stellen oder beispielsweise eine gütliche Einigung über ihre zivilrechtlichen Ansprüche zu finden", bewirke der angefochtene Entscheid einen nicht wieder gutzumachenden Nachteil.</w:t>
      </w:r>
    </w:p>
    <w:p>
      <w:r>
        <w:t>Die Ablehnung von Beweisanträgen im Strafuntersuchungsverfahren bzw. die Nichtvornahme von Untersuchungshandlungen begründet nach der dargelegten Praxis grundsätzlich keinen drohenden Rechtsnachteil im Sinne von Art. 93 Abs. 1 lit. a BGG . Nicht nur können abgelehnte Beweisanträge vor dem Abschluss der Voruntersuchung bzw. vor Gericht (nötigenfalls) nochmals gestellt werden (vgl. Art. 234 Abs. 2, Art. 244 Abs. 1, Art. 249 Abs. 2, Art. 281 und Art. 304 StrV/BE). Darüber hinaus weist die Vorinstanz in ihrer Stellungnahme darauf hin, dass einer rechtshilfeweisen (rogatorischen) Einvernahme der fraglichen Person (unter Wahrung der Parteirechte der Beschwerdeführerin) nichts im Wege stünde. Ein drohender Beweisverlust, der auch durch einen für die Beschwerdeführerin günstigen Endentscheid nicht mehr abgewendet werden könnte, ist somit nicht ersichtlich. Dass die von der Privatstrafklägerin verlangte Untersuchungshandlung bisher unterblieben ist, stünde auch einer allfälligen gütlichen Einigung über zivilrechtliche Ansprüche nicht definitiv entgegen; eine solche könnte von den Parteien insbesondere auf dem Korrespondenzwege (oder noch an der Hauptverhandlung, vgl. Art. 271 Abs. 2 StrV/BE) getroffen werden.</w:t>
      </w:r>
    </w:p>
    <w:p>
      <w:r>
        <w:rPr>
          <w:b/>
        </w:rPr>
        <w:t>E. 3</w:t>
      </w:r>
    </w:p>
    <w:p>
      <w:r>
        <w:t>Auf die Beschwerde ist nicht einzutreten.</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