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341/2020 vom 17. August 2020</w:t>
      </w:r>
    </w:p>
    <w:p>
      <w:r>
        <w:t>Bundesgericht, 2020-08-17, FR</w:t>
      </w:r>
    </w:p>
    <w:p>
      <w:r>
        <w:rPr>
          <w:b/>
        </w:rPr>
        <w:t xml:space="preserve">Quelle: </w:t>
      </w:r>
      <w:r>
        <w:t>https://mcp.opencaselaw.ch/entscheid/bger_1B_341_2020</w:t>
      </w:r>
    </w:p>
    <w:p>
      <w:r>
        <w:t>FR: TF 1B 341/2020 du 17 août 2020</w:t>
      </w:r>
    </w:p>
    <w:p>
      <w:r>
        <w:t>IT: TF 1B 341/2020 del 17 agosto 2020</w:t>
      </w:r>
    </w:p>
    <w:p>
      <w:pPr>
        <w:pStyle w:val="Heading2"/>
      </w:pPr>
      <w:r>
        <w:t>Regeste</w:t>
      </w:r>
    </w:p>
    <w:p>
      <w:r>
        <w:t>procédure pénale; assistance judiciaire | Procédure pénale</w:t>
      </w:r>
    </w:p>
    <w:p>
      <w:pPr>
        <w:pStyle w:val="Heading2"/>
      </w:pPr>
      <w:r>
        <w:t>Erwägungen</w:t>
      </w:r>
    </w:p>
    <w:p>
      <w:r>
        <w:rPr>
          <w:b/>
        </w:rPr>
        <w:t>E. 1</w:t>
      </w:r>
    </w:p>
    <w:p>
      <w:r>
        <w:t>Le Tribunal fédéral examine d'office et librement la recevabilité des recours qui lui sont soumis.</w:t>
      </w:r>
    </w:p>
    <w:p>
      <w:r>
        <w:rPr>
          <w:b/>
        </w:rPr>
        <w:t>E. 1.1</w:t>
      </w:r>
    </w:p>
    <w:p>
      <w:r>
        <w:t>Conformément à l' art. 78 al. 1 LTF , une décision relative à la défense d'office dans une cause pénale peut faire l'objet d'un recours en matière pénale nonobstant son caractère incident ( ATF 140 IV 202 consid. 2.2 p. 205). Le recourant doit avoir un intérêt actuel et pratique au traitement de son recours ( ATF 144 IV 81 consid. 2.3.1 p. 84; 140 IV 74 consid. 1.3.1 p. 77). On peut se demander si cette condition est remplie dans le cas particulier étant donné que la Chambre des recours pénale a statué par arrêt du 22 juin 2020 sur le recours pour la rédaction duquel il avait sollicité la désignation d'un avocat d'office en le déclarant irrecevable (cf. arrêt 1B_164/2013 du 11 juin 2013 consid. 2). Cette question peut toutefois demeurer indécise, vu l'issue du recours.</w:t>
      </w:r>
    </w:p>
    <w:p>
      <w:r>
        <w:rPr>
          <w:b/>
        </w:rPr>
        <w:t>E. 1.2</w:t>
      </w:r>
    </w:p>
    <w:p>
      <w:r>
        <w:t>Le recourant a sollicité l'octroi d'une aide juridique pour compléter son recours et remédier aux irrégularités qui pourraient l'affecter. Cette requête ne saurait être accueillie; pour que le Tribunal fédéral puisse y donner suite, elle aurait dû être faite suffisamment tôt de manière à ce que l'avocat désigné puisse agir dans le délai non prolongeable de recours de trente jours fixé à l' art. 100 al. 1 LTF (cf. arrêt 1B_190/2012 du 3 juillet 2012 consid. 2). Or, le recourant a requis l'assistance judiciaire dans son acte de recours déposé le dernier jour du délai de recours. Il ne restait ainsi pas un laps de temps suffisant pour qu'un avocat d'office soit mandaté afin de rédiger un mémoire de recours répondant en tout point aux exigences de motivation requises dans les trente jours suivant la notification de l'expédition complète de l'arrêt cantonal. Le recours sera donc examiné à la lumière des exigences de motivation des art. 42 al. 2 et 106 al. 2 LTF.</w:t>
      </w:r>
    </w:p>
    <w:p>
      <w:r>
        <w:rPr>
          <w:b/>
        </w:rPr>
        <w:t>E. 1.3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Lorsque la décision attaquée comporte plusieurs motivations indépendantes dont chacune suffit à sceller le sort de la cause, il appartient au recourant, sous peine d'irrecevabilité, de s'attaquer conformément aux art. 42 al. 2 et 106 al. 2 LTF à chacune d'entre elles, et de démontrer qu'elles sont contraires au droit ( ATF 142 III 364 consid. 2.4 p. 368). Les critiques de nature appellatoire sont irrecevables ( ATF 142 III 364 consid. 2.4 p. 368).</w:t>
      </w:r>
    </w:p>
    <w:p>
      <w:r>
        <w:rPr>
          <w:b/>
        </w:rPr>
        <w:t>E. 1.4</w:t>
      </w:r>
    </w:p>
    <w:p>
      <w:r>
        <w:t>En l'occurrence, le Président de la Chambre des recours pénale a rejeté la requête d'assistance judiciaire parce qu'elle était prématurée, étant dans l'impossibilité d'apprécier si le recours envisagé, dont la motivation était encore inconnue, remplissait la condition de l' art. 136 al. 1 let. b CPP et parce que les pièces jointes à la requête étaient manifestement insuffisantes pour se faire une idée précise de la situation financière du recourant et retenir son indigence. Le refus d'octroi de l'assistance judiciaire repose ainsi sur une double motivation qu'il revenait au recourant de contester par une argumentation répondant aux exigences déduites des art. 42 al. 2 et 106 al. 2 LTF, sous peine de voir son recours déclaré irrecevable ( ATF 142 III 364 consid. 2.4 p. 368). Le recourant ne cherche pas à démontrer, comme il lui appartenait de le faire, en quoi il serait insoutenable ou d'une autre manière contraire au droit d'avoir jugé sa requête d'assistance judiciaire prématurée et exigé le dépôt d'un mémoire motivé pour pouvoir vérifier les chances de succès d'un éventuel recours contre l'ordonnance de non-entrée en matière du Ministère public de l'arrondissement de Lausanne. Il se borne par ailleurs à affirmer de manière appellatoire avoir fourni au Tribunal cantonal tous les documents pertinents pour démontrer que sa requête d'assistance judiciaire satisfait aux exigences posées à l' art. 136 CPP . Il ne saurait à cet égard se fonder sur des pièces postérieures à la décision attaquée et plus particulièrement sur le courrier adressé le 5 juin 2020 et ses annexes pour tenter de démontrer que la décision du Président de la Chambre pénale du 26 mai 2020 refusant de lui accorder l'assistance judiciaire est arbitraire ou d'une autre manière contraire au droit (cf. art. 99 al. 1 LTF ). Le recours ne satisfait ainsi pas les exigences de motivation requises lorsque, comme en l'espèce, la décision attaquée repose sur une double moti vation et doit être déclaré irrecevable.</w:t>
      </w:r>
    </w:p>
    <w:p>
      <w:r>
        <w:rPr>
          <w:b/>
        </w:rPr>
        <w:t>E. 1.5</w:t>
      </w:r>
    </w:p>
    <w:p>
      <w:r>
        <w:t>On peut s'étonner que la Chambre des recours pénale ait statué au fond alors que le délai de recours contre le refus de son président de désigner un avocat d'office pour déposer un recours motivé auprès du Tribunal fédéral n'était pas encore échu. Il ressort par ailleurs du dossier cantonal que le dernier jour du délai imparti pour déposer un mémoire de recours motivé, Me Christian Favre, consulté par le recourant après le désistement de Me Miriam Mazou, a informé la cour cantonale qu'il n'était plus le conseil de ce dernier et a sollicité une prolongation d'un mois du délai venant à échéance ce jour afin de lui permettre de prendre les dispositions nécessaires à la défense de ses intérêts et, le cas échéant, de mandater un autre avocat. Or, aucune suite n'a été donnée à cette requête et la Chambre des recours pénale, tout en relevant ce courrier dans son prononcé, ne s'exprime pas à ce sujet dans son arrêt du 22 juin 2020. Il n'appartient toutefois pas à la Cour de céans, saisie d'un recours contre la décision incidente du 26 mai 2020, d'examiner les conséquences éventuelles de cette omission, étant relevé que le délai de recours contre l'arrêt cantonal d'irrecevabilité n'est pas encore échu compte tenu des féries judiciaires.</w:t>
      </w:r>
    </w:p>
    <w:p>
      <w:r>
        <w:rPr>
          <w:b/>
        </w:rPr>
        <w:t>E. 2</w:t>
      </w:r>
    </w:p>
    <w:p>
      <w:r>
        <w:t>La cause d'irrecevabilité étant manifeste, le présent arrêt sera rendu selon la procédure simplifiée prévue par l' art. 108 al. 1 let. b LTF . L'issue du recours étant prévisible, la requête d'assistance judiciaire doit être rejetée ( art. 64 al. 1 et 2 LTF ). Etant donné les circonstances, le présent arrêt sera rendu sans frais (art. 66 al. 1, 2ème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