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340/2020 vom 11. Dezember 2020</w:t>
      </w:r>
    </w:p>
    <w:p>
      <w:r>
        <w:t>Bundesgericht, 2020-12-11, DE</w:t>
      </w:r>
    </w:p>
    <w:p>
      <w:r>
        <w:rPr>
          <w:b/>
        </w:rPr>
        <w:t xml:space="preserve">Quelle: </w:t>
      </w:r>
      <w:r>
        <w:t>https://mcp.opencaselaw.ch/entscheid/bger_1B_340_2020</w:t>
      </w:r>
    </w:p>
    <w:p>
      <w:r>
        <w:t>FR: TF 1B 340/2020 du 11 décembre 2020</w:t>
      </w:r>
    </w:p>
    <w:p>
      <w:r>
        <w:t>IT: TF 1B 340/2020 del 11 dicembre 2020</w:t>
      </w:r>
    </w:p>
    <w:p>
      <w:pPr>
        <w:pStyle w:val="Heading2"/>
      </w:pPr>
      <w:r>
        <w:t>Regeste</w:t>
      </w:r>
    </w:p>
    <w:p>
      <w:r>
        <w:t>Strafverfahren; Beschlagnahmebefel | Strafprozess</w:t>
      </w:r>
    </w:p>
    <w:p>
      <w:pPr>
        <w:pStyle w:val="Heading2"/>
      </w:pPr>
      <w:r>
        <w:t>Erwägungen</w:t>
      </w:r>
    </w:p>
    <w:p>
      <w:r>
        <w:rPr>
          <w:b/>
        </w:rPr>
        <w:t>E. 1.1</w:t>
      </w:r>
    </w:p>
    <w:p>
      <w:r>
        <w:t>Angefochten ist ein kantonal letztinstanzlicher Entscheid betreffend eine Sicherungsbeschlagnahme. Dagegen steht die Beschwerde in Strafsachen zur Verfügung ( Art. 78 Abs. 1 und Art. 80 Abs. 1 BGG ). Im Streit um Nebenpunkte, namentlich hinsichtlich Kosten- und Entschädigungsfolgen, folgt der Rechtsweg ans Bundesgericht grundsätzlich demjenigen in der Hauptsache (Urteil 5A_619/2015 vom 21. Dezember 2015 E. 1, nicht publ. in: BGE 142 III 110 ; 134 I 159 E. 1.1 S. 160; je mit Hinweisen).</w:t>
      </w:r>
    </w:p>
    <w:p>
      <w:r>
        <w:rPr>
          <w:b/>
        </w:rPr>
        <w:t>E. 1.2</w:t>
      </w:r>
    </w:p>
    <w:p>
      <w:r>
        <w:t>Wie alle Prozesshandlungen sind auch Rechtsbegehren nach Treu und Glauben auszulegen, insbesondere im Licht der dazu gegebenen Begründung ( BGE 123 IV 125 E. 1 S. 127). Der Beschwerdeführer beantragt zwar die Aufhebung des kantonsgerichtlichen Beschlusses in seiner Gesamtheit, aus der Beschwerdebegründung geht jedoch hervor, dass er mit der Abschreibung des Verfahrens wegen Gegenstandslosigkeit einverstanden ist (Dispositiv-Ziffer 1) und lediglich die Kosten- und Entschädigungsfolgen beanstandet (Dispositiv-Ziffer 2).</w:t>
      </w:r>
    </w:p>
    <w:p>
      <w:r>
        <w:rPr>
          <w:b/>
        </w:rPr>
        <w:t>E. 1.3</w:t>
      </w:r>
    </w:p>
    <w:p>
      <w:r>
        <w:t>Der angefochtene Beschluss schliesst das Strafverfahren gegen den Beschwerdeführer nicht ab. Es liegt ein selbstständig eröffneter Zwischenentscheid im Sinne von Art. 93 BGG vor. Die Beschwerde an das Bundesgericht ist daher nur zulässig, wenn dieser einen nicht wieder gutzumachenden Nachteil bewirken kann (Abs. 1 lit. a) oder wenn die Gutheissung der Beschwerde sofort einen Endentscheid herbeiführen und damit einen bedeutenden Aufwand an Zeit oder Kosten für ein weitläufiges Beweisverfahren ersparen würde (Abs. 1 lit. b). Sofern sich nicht ohne Weiteres aus den Akten ergibt, dass diese Voraussetzungen erfüllt sind, obliegt es dem Beschwerdeführer, dies darzutun ( BGE 141 IV 289 E. 1.3 S. 292 mit Hinweisen). Allerdings legt der Beschwerdeführer weder dar noch ist ersichtlich, dass die Beschwerde sofort einen Endentscheid herbeiführen könnte oder dass ein nicht wieder gutzumachender Nachteil drohte. Der angefochtene Beschluss ist mit Beschwerde gegen den Endentscheid anfechtbar, soweit er sich auf dessen Inhalt auswirkt ( Art. 93 Abs. 3 BGG ).</w:t>
      </w:r>
    </w:p>
    <w:p>
      <w:r>
        <w:rPr>
          <w:b/>
        </w:rPr>
        <w:t>E. 2</w:t>
      </w:r>
    </w:p>
    <w:p>
      <w:r>
        <w:t>Auf die Beschwerde ist deshalb nicht einzutreten.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