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340/2018 vom 18. Oktober 2018</w:t>
      </w:r>
    </w:p>
    <w:p>
      <w:r>
        <w:t>Bundesgericht, 2018-10-18, DE</w:t>
      </w:r>
    </w:p>
    <w:p>
      <w:r>
        <w:rPr>
          <w:b/>
        </w:rPr>
        <w:t xml:space="preserve">Quelle: </w:t>
      </w:r>
      <w:r>
        <w:t>https://mcp.opencaselaw.ch/entscheid/bger_1B_340_2018</w:t>
      </w:r>
    </w:p>
    <w:p>
      <w:r>
        <w:t>FR: TF 1B 340/2018 du 18 octobre 2018</w:t>
      </w:r>
    </w:p>
    <w:p>
      <w:r>
        <w:t>IT: TF 1B 340/2018 del 18 ottobre 2018</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1 BGG zur Beschwerde befugt. Die weiteren Sachurteilsvoraussetzungen geben zu keinen Bemerkungen Anlass. Auf die Beschwerde ist einzutreten.</w:t>
      </w:r>
    </w:p>
    <w:p>
      <w:r>
        <w:rPr>
          <w:b/>
        </w:rPr>
        <w:t>E. 2.1</w:t>
      </w:r>
    </w:p>
    <w:p>
      <w:r>
        <w:t>Der Beschwerdeführer rügt eine Verletzung seines Anspruchs auf rechtliches Gehör. Er habe zur Vernehmlassung des Beschwerdegegners, die ihm erst am 31. Mai 2018 zugestellt worden sei, keine Stellung nehmen können.</w:t>
      </w:r>
    </w:p>
    <w:p>
      <w:r>
        <w:rPr>
          <w:b/>
        </w:rPr>
        <w:t>E. 2.2</w:t>
      </w:r>
    </w:p>
    <w:p>
      <w:r>
        <w:t>Der Anspruch einer Partei, im Rahmen eines Gerichtsverfahrens zu replizieren, bildet einen Teilgehalt des verfassungsmässigen Anspruchs auf rechtliches Gehör ( Art. 29 Abs. 2 BV ; Art. 6 Abs. 1 EMRK ).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 (zum Ganzen: BGE 139 I 189 E. 3.2 S. 191 f. ; 138 I 484 E. 2.1 S. 485 f. ; 137 I 195 E. 2.3.1 S. 197; je mit Hinweisen).</w:t>
      </w:r>
    </w:p>
    <w:p>
      <w:r>
        <w:rPr>
          <w:b/>
        </w:rPr>
        <w:t>E. 2.3</w:t>
      </w:r>
    </w:p>
    <w:p>
      <w:r>
        <w:t>Es obliegt dem Gericht, in jedem Einzelfall den Parteien ein effektives Replikrecht zu gewähren. Es kann dem Betroffenen hiefür eine Frist setzen, doch genügt zur Wahrung des Replikrechts grundsätzlich, dass den Parteien die Eingaben zur Information (Kenntnisnahme, Orientierung) zugestellt werden, wenn von ihnen, namentlich von anwaltlich Vertretenen oder Rechtskundigen, erwartet werden kann, dass sie unaufgefordert Stellung nehmen ( BGE 138 I 484 E. 2.4 S. 487; Urteil des EGMR Joos gegen Schweiz vom 15. November 2012, Nr. 43245/07, Ziff. 29-33). Nach der Zustellung zur Kenntnisnahme ist das Gericht gehalten, eine angemessene Zeitspanne mit dem Entscheid zuzuwarten. Vor Ablauf von zehn Tagen darf es im Allgemeinen nicht von einem Verzicht auf das Replikrecht ausgehen (Urteil 2C_469/2014 vom 9. Dezember 2014 E. 2.2 mit Hinweisen). Diese Wartefrist für das Gericht schliesst die Zeit, welche die Partei zur Übermittlung ihrer (Replik-) Eingabe benötigt, bereits ein (Urteil 5D_81/2015 vom 4. April 2016 E. 2.3.4 und 2.4 mit Hinweisen). Entsprechend obliegt es einer Partei, die eine Stellungnahme zu einer ihr zur Kenntnisnahme zugestellten Vernehmlassung für erforderlich hält, diese grundsätzlich unverzüglich einzureichen oder zu beantragen ( BGE 133 I 100 E. 4.8 S. 105; zum Ganzen: Urteil 5A_1022/2015 vom 29. April 2016 E. 3.2.2 mit Hinweisen).</w:t>
      </w:r>
    </w:p>
    <w:p>
      <w:r>
        <w:rPr>
          <w:b/>
        </w:rPr>
        <w:t>E. 2.4</w:t>
      </w:r>
    </w:p>
    <w:p>
      <w:r>
        <w:t>Aus dem Ausgeführten folgt, dass das Kantonsgericht, indem es 13 Tage nach Eintreffen der Vernehmlassung des Beschwerdegegners beim Beschwerdeführer seinen Beschluss fällte, das Replikrecht nicht verletzte. Der anwaltlich vertretene Beschwerdeführer reichte während dieser Zeit weder eine Stellungnahme ein noch beantragte er die Einräumung einer Gelegenheit dazu. Das Schreiben des Beschwerdegegners umfasste im Übrigen weniger als zwei Seiten. Die Rüge ist somit unbegründet.</w:t>
      </w:r>
    </w:p>
    <w:p>
      <w:r>
        <w:rPr>
          <w:b/>
        </w:rPr>
        <w:t>E. 3.1</w:t>
      </w:r>
    </w:p>
    <w:p>
      <w:r>
        <w:t>Der Beschwerdeführer kritisiert, der Beschwerdegegner habe sich in seinem Schreiben vom 16. Mai 2018 ohne Not zur Beweiswürdigung geäussert. Dies komme einem unzulässigen "Vorausplädoyer", welches gemäss Art. 326 Abs. 2 StPO nur in einem hier nicht gegebenen Ausnahmefall zulässig sei, gleich. Als Folge davon sei auch das Prinzip der Waffengleichheit verletzt worden, da die begründete Befürchtung bestehe, dass sich die vorweggenommene Beweiswürdigung der Staatsanwaltschaft auf die Entscheidfindung des Gerichts ausgewirkt habe. Dafür spreche die Abweisung des Beweisantrags.</w:t>
      </w:r>
    </w:p>
    <w:p>
      <w:r>
        <w:rPr>
          <w:b/>
        </w:rPr>
        <w:t>E. 3.2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Das gilt allerdings nur für das Vorverfahren.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Nach Erhebung der Anklage wird die Staatsanwaltschaft dagegen wie die beschuldigte Person und die Privatklägerschaft zur Partei ( Art. 104 Abs. 1 StPO ). In diesem Verfahrensstadium ist die Staatsanwaltschaft definitionsgemäss nicht mehr zur Unparteilichkeit verpflichtet und hat sie grundsätzlich die Anklage zu vertreten ( Art. 16 Abs. 2 StPO ). Insoweit gewähren weder Art. 29 Abs. 1 noch Art. 30 Abs. 1 BV noch Art. 6 Ziff. 1 EMRK dem Beschuldigten einen besonderen Schutz, der es ihm erlauben würde, sich über die Haltung des Staatsanwalts und dessen Äusserungen in den Verhandlungen zu beschweren (zum Ganzen: BGE 141 IV 178 E. 3.2.1 f. S. 179 f.; vgl. auch Urteil 6B_719/2017 vom 10. September 2018 E. 2.1; je mit Hinweisen).</w:t>
      </w:r>
    </w:p>
    <w:p>
      <w:r>
        <w:rPr>
          <w:b/>
        </w:rPr>
        <w:t>E. 3.3</w:t>
      </w:r>
    </w:p>
    <w:p>
      <w:r>
        <w:t>Im vorliegenden Fall hat der Beschwerdegegner am 31. Oktober 2017 Anklage erhoben. Das beanstandete Schreiben verfasste er nicht als Untersuchungs- sondern als Anklagebehörde und damit als Verfahrenspartei. Selbst wenn man davon ausgeht, er habe sich darin in unzulässiger Weise zur Beweiswürdigung geäussert, ist darin jedenfalls keine schwere Verletzung von Amtspflichten zu erblicken, wie sie bei einem verfahrensleitenden Staatsanwalt während des Vorverfahrens einen Ausstandsgrund schaffen könnte (vgl. BGE 141 IV 178 E. 3.2.3 S. 180 mit Hinweisen). Umso weniger ist eine Befangenheit des Beschwerdegegners als Vertreter der Anklage zu bejahen. Daran ändert auch die Berufung des Beschwerdeführers auf den Grundsatz der Waffengleichheit nichts. Seine diesbezügliche Kritik richtet sich in der Sache gegen das Gericht, nicht gegen den Beschwerdegegner. Die Vorinstanz hat somit kein Bundesrecht verletzt, indem sie einen Ausstandsgrund verneinte.</w:t>
      </w:r>
    </w:p>
    <w:p>
      <w:r>
        <w:rPr>
          <w:b/>
        </w:rPr>
        <w:t>E. 4</w:t>
      </w:r>
    </w:p>
    <w:p>
      <w:r>
        <w:t>Die Beschwerde ist aus diesen Erwägungen abzuweisen. 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