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33/2007 vom 16. Juli 2007</w:t>
      </w:r>
    </w:p>
    <w:p>
      <w:r>
        <w:t>Bundesgericht, 2007-07-16, DE</w:t>
      </w:r>
    </w:p>
    <w:p>
      <w:r>
        <w:rPr>
          <w:b/>
        </w:rPr>
        <w:t xml:space="preserve">Quelle: </w:t>
      </w:r>
      <w:r>
        <w:t>https://mcp.opencaselaw.ch/entscheid/bger_1B_33_2007</w:t>
      </w:r>
    </w:p>
    <w:p>
      <w:r>
        <w:t>FR: TF 1B 33/2007 du 16 juillet 2007</w:t>
      </w:r>
    </w:p>
    <w:p>
      <w:r>
        <w:t>IT: TF 1B 33/2007 del 16 luglio 2007</w:t>
      </w:r>
    </w:p>
    <w:p>
      <w:pPr>
        <w:pStyle w:val="Heading2"/>
      </w:pPr>
      <w:r>
        <w:t>Regeste</w:t>
      </w:r>
    </w:p>
    <w:p>
      <w:r>
        <w:t>Beschlagnahme und Vernichtungsverfügung | Strafprozess</w:t>
      </w:r>
    </w:p>
    <w:p>
      <w:pPr>
        <w:pStyle w:val="Heading2"/>
      </w:pPr>
      <w:r>
        <w:t>Erwägungen</w:t>
      </w:r>
    </w:p>
    <w:p>
      <w:r>
        <w:rPr>
          <w:b/>
        </w:rPr>
        <w:t>E. 1</w:t>
      </w:r>
    </w:p>
    <w:p>
      <w:r>
        <w:t>Die Beschwerde ist im vorliegenden Fall innert 30 Tagen nach der Eröffnung des angefochtenen Entscheids beim Bundesgericht einzureichen ( Art. 100 Abs. 1 BGG ). Als gesetzlich bestimmte Frist kann die Beschwerdefrist nicht erstreckt werden ( Art. 47 Abs. 1 BGG ). Der Beschwerdeführer hat den angefochtenen Entscheid nach eigenen Angaben am 27. Januar 2007 zugestellt erhalten. Er reichte seine Beschwerden am 26. Februar 2007 und damit am letzten Tag der Beschwerdefrist ein. Seinem Gesuch um Erstreckung der Beschwerdefrist, um nach erfolgter vollumfänglicher Akteneinsicht eine Beschwerdeergänzung einzureichen, kann somit nicht entsprochen werden.</w:t>
      </w:r>
    </w:p>
    <w:p>
      <w:r>
        <w:rPr>
          <w:b/>
        </w:rPr>
        <w:t>E. 2</w:t>
      </w:r>
    </w:p>
    <w:p>
      <w:r>
        <w:t>Aufgrund der Erwägungen der Strafkammer handelt es sich beim angefochtenen Entscheid um einen letztinstanzlichen kantonalen Zwischenentscheid über eine strafprozessuale Beschlagnahme bzw. Vernichtung. Dagegen steht die Beschwerde in Strafsachen grundsätzlich offen (Art. 78 ff. i.V.m. Art. 93 BGG ). Somit besteht kein Raum für die vom Beschwerdeführer ebenfalls erhobene subsidiäre Verfassungsbeschwerde ( Art. 113 BGG ).</w:t>
      </w:r>
    </w:p>
    <w:p>
      <w:r>
        <w:rPr>
          <w:b/>
        </w:rPr>
        <w:t>E. 3</w:t>
      </w:r>
    </w:p>
    <w:p>
      <w:r>
        <w:t>Nach Art. 42 Abs. 2 BGG ist in der Begründung einer Beschwerde in gedrängter Form darzulegen, inwiefern der angefochtene Entscheid Recht verletzt. Im vorliegenden Fall sprach die Strafkammer dem Beschwerdeführer wegen der erfolgten Vernichtung des Hanfes das Rechtsschutzinteresse an der Behandlung der Beschwerden ab und verneinte in der Folge auch die Voraussetzungen, um trotz Fehlen des aktuellen praktischen Interesses auf die Beschwerden einzutreten. Damit setzt sich der Beschwerdeführer nicht in einer den Anforderungen von Art. 42 Abs. 2 BGG genügenden Weise auseinander. Er zeigt nicht auf, inwiefern die Beurteilung der Eintretensfrage durch die Strafkammer verfassungs- bzw. konventionsrechtlich zu beanstanden ist; seine Vorbringen beschränken sich auf die subsidiären Begründungselemente der angefochtenen Entscheidung. Schon deswegen ist mangels einer hinreichenden Begründung im Sinne von Art. 42 Abs. 2 BGG (auch) auf die Beschwerde in Strafsachen nicht einzutreten. Da der Begründungsmangel offensichtlich ist, kann über die Beschwerde im vereinfachten Verfahren nach Art. 108 Abs. 1 lit. b BGG entschieden werden. Somit kann offen bleiben, ob die Voraussetzungen von Art. 93 Abs. 1 BGG zur Anfechtung eines Zwischenentscheides gegeben sind.</w:t>
      </w:r>
    </w:p>
    <w:p>
      <w:r>
        <w:rPr>
          <w:b/>
        </w:rPr>
        <w:t>E. 4</w:t>
      </w:r>
    </w:p>
    <w:p>
      <w:r>
        <w:t>Angesichts der offensichtlichen Aussichtslosigkeit der vorliegenden Beschwerde kann dem Gesuch um unentgeltliche Rechtspflege nicht entsprochen werden ( Art. 64 Abs. 1 BGG ). Auf eine Kostenauflage kann jedoch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