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339/2021 vom 21. Juni 2021</w:t>
      </w:r>
    </w:p>
    <w:p>
      <w:r>
        <w:t>Bundesgericht, 2021-06-21, DE</w:t>
      </w:r>
    </w:p>
    <w:p>
      <w:r>
        <w:rPr>
          <w:b/>
        </w:rPr>
        <w:t xml:space="preserve">Quelle: </w:t>
      </w:r>
      <w:r>
        <w:t>https://mcp.opencaselaw.ch/entscheid/bger_1B_339_2021</w:t>
      </w:r>
    </w:p>
    <w:p>
      <w:r>
        <w:t>FR: TF 1B 339/2021 du 21 juin 2021</w:t>
      </w:r>
    </w:p>
    <w:p>
      <w:r>
        <w:t>IT: TF 1B 339/2021 del 21 giugno 2021</w:t>
      </w:r>
    </w:p>
    <w:p>
      <w:pPr>
        <w:pStyle w:val="Heading2"/>
      </w:pPr>
      <w:r>
        <w:t>Regeste</w:t>
      </w:r>
    </w:p>
    <w:p>
      <w:r>
        <w:t>Strafverfahren; Sistierung | Strafprozess</w:t>
      </w:r>
    </w:p>
    <w:p>
      <w:pPr>
        <w:pStyle w:val="Heading2"/>
      </w:pPr>
      <w:r>
        <w:t>Erwägungen</w:t>
      </w:r>
    </w:p>
    <w:p>
      <w:r>
        <w:rPr>
          <w:b/>
        </w:rPr>
        <w:t>E. 1</w:t>
      </w:r>
    </w:p>
    <w:p>
      <w:r>
        <w:t>Die Staatsanwaltschaft Rheinfelden-Laufenburg verurteilte A.________ mit Strafbefehl vom 3. Juli 2020 wegen Führens eines Motorfahrzeugs trotz Entzugs des Führerausweises zu einer Geldstrafe. Dagegen erhob A.________ am 7. Juli 2020 Einsprache. Die Staatsanwaltschaft überwies am 18. August 2020 den Strafbefehl an das Bezirksgericht Rheinfelden zur Durchführung des Hauptverfahrens. Am 18. Dezember 2020 ersuchte A.________ das Bezirksgericht Rheinfelden um Sistierung des Verfahrens bis zum Entscheid des Europäischen Gerichtshofs für Menschenrechte über seine Beschwerde betreffend den Führerausweisentzug. Die Präsidentin des Bezirksgerichts Rheinfelden wies das Gesuch mit Verfügung vom 23. März 2021 ab. Dagegen erhob A.________ am 6. April 2021 Beschwerde, auf welche die Beschwerdekammer in Strafsachen des Obergerichts des Kantons Aargau mit Entscheid vom 5. Mai 2021 nicht eintrat.</w:t>
      </w:r>
    </w:p>
    <w:p>
      <w:r>
        <w:rPr>
          <w:b/>
        </w:rPr>
        <w:t>E. 2</w:t>
      </w:r>
    </w:p>
    <w:p>
      <w:r>
        <w:t>A.________ erhob mit Eingabe vom 14. Juni 2021 "Einsprache gegen das Urteil aus Aarau" beim Obergericht des Kantons Aargau. Die Beschwerdekammer in Strafsachen des Obergerichts des Kantons Aargau überwies die Eingabe mit Schreiben vom 16. Juni 2021 dem Bundesgericht zur weiteren Behandlung.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der Beschwerdekammer in Strafsachen, die zum Nichteintretensentscheid führte, nicht auseinander. Er macht einzig geltend, Oberrichter Richli sei "aufgrund einer Anzeige gegen ihn befangen und hätte in diesem Verfahren in Ausstand treten müssen". Mit diesen Ausführungen vermag der Beschwerdeführer nicht ansatzweise eine allfällige Befangenheit von Oberrichter Richli aufzuzeigen. Die Beschwerde genügt insoweit den Begründungsanforderungen von Art. 42 Abs. 2 BGG offensichtlich nicht. Aus der Beschwerde ergibt sich somit nicht, inwiefern die Begründung der Beschwerdekammer in Strafsachen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