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1B_339/2020 vom 23. Februar 2021</w:t>
      </w:r>
    </w:p>
    <w:p>
      <w:r>
        <w:t>Bundesgericht, 2021-02-23, FR</w:t>
      </w:r>
    </w:p>
    <w:p>
      <w:r>
        <w:rPr>
          <w:b/>
        </w:rPr>
        <w:t xml:space="preserve">Quelle: </w:t>
      </w:r>
      <w:r>
        <w:t>https://mcp.opencaselaw.ch/entscheid/bger_1B_339_2020</w:t>
      </w:r>
    </w:p>
    <w:p>
      <w:r>
        <w:t>FR: TF 1B_339/2020 du 23 février 2021</w:t>
      </w:r>
    </w:p>
    <w:p>
      <w:r>
        <w:t>IT: TF 1B_339/2020 del 23 febbraio 2021</w:t>
      </w:r>
    </w:p>
    <w:p>
      <w:pPr>
        <w:pStyle w:val="Heading2"/>
      </w:pPr>
      <w:r>
        <w:t>Erwägungen</w:t>
      </w:r>
    </w:p>
    <w:p>
      <w:r>
        <w:rPr>
          <w:b/>
        </w:rPr>
        <w:t>E. 1</w:t>
      </w:r>
    </w:p>
    <w:p>
      <w:r>
        <w:t>Le recours est dirigé contre une décision prise en dernière instance cantonale ( art. 80 LTF ), interdisant à l'avocat Vincent Solari de représenter la recourante, en l'état en tant que personne appelée à donner des renseignements, dans la procédure pénale P/16180/2018 visant sa mère et son beau-père. Le recours est donc en principe recevable comme un recours en matière pénale au sens des art. 78 ss LTF (arrêts 1B_582/2019 du 20 mars 2020 consid. 1; 1B_209/2019 du 19 septembre 2019 consid. 2.2; 1B_510/2018 du 14 mars 2019 consid. 1 non publié aux ATF 145 IV 218 ).</w:t>
      </w:r>
    </w:p>
    <w:p>
      <w:r>
        <w:t>Le prononcé relatif à une interdiction de procéder constitue une décision incidente susceptible de causer un préjudice irréparable ( art. 93 al. 1 let. a LTF ) puisqu'il prive définitivement la recourante, en tant qu'autre participant à la procédure (cf. art. 105 al. 1 let . d CPP), de pouvoir choisir son avocat ( art. 127 al. 1 CPP ; arrêts 1B_582/2019 du 20 mars 2020 consid. 1; 1B_510/2018 du 14 mars 2019 consid. 1). Destinataire de la décision attaquée, la recourante - qui se prévaut en particulier d'une violation de l' art. 12 let . c de la loi fédérale du 23 juin 2000 sur la libre circulation des avocats (LLCA; RS 935.61) - dispose de la qualité pour recourir ( art. 81 al. 1 let. a et b LTF ). Pour le surplus, le recours a été déposé en temps utile ( art. 100 al. 1 LTF ) et les conclusions prises sont recevables ( art. 107 al. 2 LTF ). Partant, il y a lieu d'entrer en matière.</w:t>
      </w:r>
    </w:p>
    <w:p>
      <w:r>
        <w:rPr>
          <w:b/>
        </w:rPr>
        <w:t>E. 2</w:t>
      </w:r>
    </w:p>
    <w:p>
      <w:r>
        <w:t>La recourante reproche à l'autorité précédente une violation des art. 127 al. 3 CPP et 12 let. c LLCA. Selon la recourante, sa défense dans la cause pénale P/16180/2018 pourrait être confiée à l'avocat en charge de celle des deux prévenus dans cette même procédure, leurs intérêts n'étant pas divergents.</w:t>
      </w:r>
    </w:p>
    <w:p>
      <w:r>
        <w:rPr>
          <w:b/>
        </w:rPr>
        <w:t>E. 2.1</w:t>
      </w:r>
    </w:p>
    <w:p>
      <w:r>
        <w:t>Selon l' art. 127 al. 1 CPP , le prévenu, la partie plaignante et les autres participants à la procédure peuvent se faire assister d'un conseil juridique pour défendre leurs intérêts. Dans les limites de la loi et des règles de sa profession, un conseil juridique peut défendre les intérêts de plusieurs participants à la procédure dans la même procédure ( art. 127 al. 3 CPP ). Aux termes de l' art. 127 al. 4 CPP , les parties peuvent choisir pour conseil juridique toute personne digne de confiance, jouissant de la capacité civile et ayant une bonne réputation; la législation sur les avocats est réservée.</w:t>
      </w:r>
    </w:p>
    <w:p>
      <w:r>
        <w:t>Parmi les règles professionnelles que doit respecter l'avocat, l' art. 12 let .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Elle est en lien avec la clause générale de l' art. 12 let. a LLCA - selon laquelle l'avocat exerce sa profession avec soin et diligence -, avec l'obligation d'indépendance figurant à l' art. 12 let. b LLCA , ainsi qu'avec l' art. 13 LLCA relatif au secret professionnel.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 ATF 145 IV 218 consid. 2.1 p. 221 s. et les références citées).</w:t>
      </w:r>
    </w:p>
    <w:p>
      <w:r>
        <w:t>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Le devoir de fidélité exclut a fortiori que l'avocat procède contre un client actuel ( ATF 145 IV 218 consid. 2.1 p. 222 s. et les références citées).</w:t>
      </w:r>
    </w:p>
    <w:p>
      <w:r>
        <w:t>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Dès que le conflit d'intérêts survient, l'avocat doit mettre fin à la représentation ( ATF 145 IV 218 consid. 2.1 p. 223 et les arrêts cités).</w:t>
      </w:r>
    </w:p>
    <w:p>
      <w:r>
        <w:t>Il y a notamment violation de l' art. 12 let .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Il y a aussi conflit d'intérêts au sens de la disposition susmentionnée dès que survient la possibilité d'utiliser, consciemment ou non, dans un nouveau mandat les connaissances acquises antérieurement, sous couvert du secret professionnel, dans l'exercice d'un mandat antérieur ( ATF 145 IV 218 consid. 2.1 p. 223 et les arrêts cités).</w:t>
      </w:r>
    </w:p>
    <w:p>
      <w:r>
        <w:rPr>
          <w:b/>
        </w:rPr>
        <w:t>E. 2.2</w:t>
      </w:r>
    </w:p>
    <w:p>
      <w:r>
        <w:t>La cour cantonale a retenu que la recourante ne niait pas que sa position dans la procédure n'était pas identique à celle des prévenus et que son rôle dans les faits dénoncés devait être encore éclairci. Selon l'autorité précédente, si ses déclarations à la police concordaient pour l'essentiel avec celles faites par le couple formé de sa mère et de son beau-père, il n'était pas exclu qu'elles soient amenées à évoluer, notamment en fonction des éléments recueillis à la procédure. Les Juges cantonaux ont ainsi relevé qu'une mise en prévention de la recourante ne pouvait être écartée, étant précisé que la loi fédérale du 16 décembre 1983 sur l'acquisition d'immeubles par des personnes à l'étranger (LFAIE; RS 211.412.41) - que la recourante pourrait avoir cherché à éluder en achetant la propriété de V.________ - comportait un certain nombre de dispositions pénales. La Chambre pénale de recours a retenu que ces divers éléments pourraient conduire à des divergences entre les intérêts de la recourante et ceux des prévenus, leur défense par un même avocat étant ainsi susceptible de contrevenir à l' art. 12 let . c LLCA.</w:t>
      </w:r>
    </w:p>
    <w:p>
      <w:r>
        <w:rPr>
          <w:b/>
        </w:rPr>
        <w:t>E. 2.3</w:t>
      </w:r>
    </w:p>
    <w:p>
      <w:r>
        <w:t>Ce raisonnement ne prête pas le flanc à la critique et la recourante ne développe aucune argumentation propre à le remettre en cause. Tout d'abord, il peut être rappelé qu'il n'y a pas lieu d'attendre la réalisation du conflit d'intérêts pour interdire à un avocat de postuler, un risque concret - réalisé en l'occurrence - étant suffisant.</w:t>
      </w:r>
    </w:p>
    <w:p>
      <w:r>
        <w:t>Dans le cas d'espèce, le seul fait que les déclarations de la recourante paraissent correspondre à ce stade de la procédure à celles des deux prévenus ne suffit pas pour écarter tout risque concret ultérieur de conflits d'intérêts. En effet, à suivre les constatations de fait retenues dans l'arrêt attaqué (cf. let. B/e p. 3) - non remises en cause -, la recourante semble avant tout avoir affirmé son ignorance des conditions de travail des parties plaignantes, dont l'activité se déroulait pourtant pour l'essentiel dans sa propriété. Il ne saurait dès lors être d'emblée exclu que ces déclarations puissent évoluer au cours de l'instruction. On ne peut pas non plus ignorer l'implication à différents niveaux des deux prévenus et de la recourante. Il appartiendra, le cas échéant, à l'autorité d'examiner les motifs et les circonstances entourant l'emploi des parties plaignantes et l'achat du bien immobilier au nom de la recourante, maison dans laquelle elle ne réside apparemment pas, au contraire de ses deux demi-soeurs ainsi que du couple prévenu lorsqu'ils sont en Suisse. Enfin, la recourante ne prétend pas qu'une éventuelle mise en prévention à son encontre ne pourrait être que similaire en tous points à celle prévalant pour les deux prévenus, que ce soit eu égard aux infractions reprochées, au degré de participation en cause et/ou aux faits examinés. La défense de la recourante pourrait ainsi devoir prendre une direction différente de celle qui pourrait être développée en faveur des deux prévenus. L'avocat de la recourante doit alors être en mesure de présenter des arguments à sa décharge de manière pleinement indépendante, cela y compris si ceux-ci peuvent aggraver la position des deux autres prévenus. Un avocat violerait ses obligations de fidélité vis-à-vis de l'un de ses mandants s'il renoncait à procéder en sa faveur afin de protéger ses autres mandants. Il est nécessaire d'éviter d'emblée de telles situations de conflit d'intérêts. Le risque d'un conflit d'intérêts étant avéré en l'occurrence, l'avocat Vincent Solari ne saurait donc dans le cas d'espèce assister la recourante.</w:t>
      </w:r>
    </w:p>
    <w:p>
      <w:r>
        <w:rPr>
          <w:b/>
        </w:rPr>
        <w:t>E. 3</w:t>
      </w:r>
    </w:p>
    <w:p>
      <w:r>
        <w:t>Il s'ensuit que le recours est rejeté.</w:t>
      </w:r>
    </w:p>
    <w:p>
      <w:r>
        <w:t>La recourante,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