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1B_337/2019 vom 13. März 2020</w:t>
      </w:r>
    </w:p>
    <w:p>
      <w:r>
        <w:t>Bundesgericht, 2020-03-13, FR</w:t>
      </w:r>
    </w:p>
    <w:p>
      <w:r>
        <w:rPr>
          <w:b/>
        </w:rPr>
        <w:t xml:space="preserve">Quelle: </w:t>
      </w:r>
      <w:r>
        <w:t>https://mcp.opencaselaw.ch/entscheid/bger_1B_337_2019</w:t>
      </w:r>
    </w:p>
    <w:p>
      <w:r>
        <w:t>FR: TF 1B_337/2019 du 13 mars 2020</w:t>
      </w:r>
    </w:p>
    <w:p>
      <w:r>
        <w:t>IT: TF 1B_337/2019 del 13 marzo 2020</w:t>
      </w:r>
    </w:p>
    <w:p>
      <w:pPr>
        <w:pStyle w:val="Heading2"/>
      </w:pPr>
      <w:r>
        <w:t>Erwägungen</w:t>
      </w:r>
    </w:p>
    <w:p>
      <w:r>
        <w:rPr>
          <w:b/>
        </w:rPr>
        <w:t>E. 1</w:t>
      </w:r>
    </w:p>
    <w:p>
      <w:r>
        <w:t>Le Tribunal fédéral examine d'office sa compétence ( art. 29 al. 1 LTF ) et contrôle librement les conditions de recevabilité des recours qui lui sont soumis ( ATF 145 I 239 consid. 2 p. 241).</w:t>
      </w:r>
    </w:p>
    <w:p>
      <w:r>
        <w:rPr>
          <w:b/>
        </w:rPr>
        <w:t>E. 1.1</w:t>
      </w:r>
    </w:p>
    <w:p>
      <w:r>
        <w:t>Conformément aux art. 78 et 92 al. 1 LTF , une décision relative à la récusation de membres du Ministère public peut faire immédiatement l'objet d'un recours en matière pénale.</w:t>
      </w:r>
    </w:p>
    <w:p>
      <w:r>
        <w:rPr>
          <w:b/>
        </w:rPr>
        <w:t>E. 1.2</w:t>
      </w:r>
    </w:p>
    <w:p>
      <w:r>
        <w:t>L'arrêt attaqué a été notifié au recourant le 5 juin 2019 (cf. ad 3 de son recours). Le délai pour recourir au Tribunal fédéral arrivait donc à échéance le vendredi 5 juillet suivant à minuit (art. 48 al. 1 et 100 al. 1 LTF), ce que ne conteste pas le recourant. Le sceau postal de l'enveloppe ayant contenu le recours mentionne le dimanche 7 juillet 2019, le recours étant ainsi présumé tardif (arrêt 6B_157/2020 du 7 février 2020 consid. 2.3 et 2.4).</w:t>
      </w:r>
    </w:p>
    <w:p>
      <w:r>
        <w:t>Il est cependant possible d'établir le dépôt en temps utile dans une boîte postale suisse par d'autres moyens que le sceau postal, notamment en indiquant sur l'enveloppe que l'envoi a été effectué préalablement à l'échéance du délai en présence de témoin (s) ( ATF 145 V 90 consid. 6.1.1 p. 93; 142 V 389 consid. 2.2 p. 391 s.; arrêts 6B_157/2020 du 7 février 2020 consid. 2.3; 8C_696/2018 du 7 novembre 2018 consid. 3.3 et les nombreux arrêts cités). Cette faculté ne dispense cependant pas l'intéressé de faire valoir les moyens de preuve à cet égard dans le respect du délai de recours ( art. 42 al. 1 et al. 3 LTF ; arrêts 6B_157/2020 du 7 février 2020 consid. 2.3; 8C_696/2018 du 7 novembre 2018 consid. 3.4; AMSTUTZ/ARNOLD, in Basler Kommentar, Bundesgerichtsgesetz, 3e éd. 2018, n° 8a ad art. 48 LTF ; LAURENT MERZ, in Basler Kommentar, Bundesgerichtsgesetz, 3e éd. 2018, n° 24 ad art. 42 LTF ; FLORENCE AUBRY GIRARDIN, in CORBOZ/WURZBURGER/FERRARI/FRÉSARD/AUBRY GIRARDIN, Commentaire de la LTF, 2e 2014, no 46 ad art. 42 LTF ). Or, dans le cas d'espèce, ne figure ni dans le recours du 5 juillet 2019, ni sur l'enveloppe y relative la moindre indication sur les moyens de preuve offerts afin d'établir la recevabilité du recours (arrêt 6B_157/2020 du 7 février 2020 consid. 2.4). On peut dès lors douter que la production uniquement le lundi 8 juillet 2019 d'une clé USB comportant un film censé apporter cette preuve - dans la mesure d'ailleurs où un tel mode de faire serait admissible - suffise pour établir le dépôt en temps utile du mémoire de recours; cela tend en revanche à confirmer que le mandataire du recourant n'ignorait pas que son envoi du 5 juillet 2019 pourrait être tardif. Ces considérations valent d'ailleurs aussi pour les observations datées du 28 octobre 2019, reçues le 30 suivant avec des enveloppes comportant le sceau postal du 29 octobre 2019, respectivement donc de la clé USB envoyée le 30 octobre 2019.</w:t>
      </w:r>
    </w:p>
    <w:p>
      <w:r>
        <w:t>Cela étant, vu l'issue du litige, cette question de recevabilité - respectivement les autres problématiques y relatives - peut rester indécise. Sauf à prendre le risque de voir un recours déclaré irrecevable en raison de son dépôt tardif (arrêt 6B_157/2020 du 7 février 2020 consid. 2.4), le mandataire du recourant ne manquera certainement pas d'être attentif à cette problématique à l'avenir.</w:t>
      </w:r>
    </w:p>
    <w:p>
      <w:r>
        <w:rPr>
          <w:b/>
        </w:rPr>
        <w:t>E. 1.3</w:t>
      </w:r>
    </w:p>
    <w:p>
      <w:r>
        <w:t>L'avocat Favre a produit au cours de la procédure fédérale une copie des débats relatifs à l'élection en tant que Procureur, puis Procureur général de Jean-Pierre Gross. Il n'est pas établi que ce document ait été produit devant l'instance précédente. Cela étant, cette pièce est en libre accès sur le site officiel du parlement valaisan (https://parlement.vs.ch/sites/parlement/FR/1/docview/15172, consulté le 3 février 2019, à 14h18), constituant ainsi un fait notoire qui peut être pris en compte indépendamment de toute allégation ou démonstration, soit un renseignement qui peut être contrôlé par des publications accessibles à chacun ( ATF 143 IV 380 consid. 1.1 et 1.2 p. 383 ss). Le recourant ne développe d'ailleurs aucune argumentation tendant à remettre en cause la production de cette pièce (cf. ad d p. 10 de ses observations du 28 octobre 2019).</w:t>
      </w:r>
    </w:p>
    <w:p>
      <w:r>
        <w:rPr>
          <w:b/>
        </w:rPr>
        <w:t>E. 2</w:t>
      </w:r>
    </w:p>
    <w:p>
      <w:r>
        <w:t>Si le recourant se plaint d'une violation de l' art. 112 LTF , on peine à comprendre quels seraient les éléments qui feraient défaut dans l'arrêt attaqué : en particulier, l'autorité précédente a exposé les faits (p. 2 s.), le droit et les considérations qu'elle en tire (p. 3 ss). En outre, la cour cantonale a fait état des écritures déposées par le recourant, dont celle du 9 avril 2019 (cf. p. 3 de l'arrêt attaqué); l'appréciation qu'elle effectue de ce courrier ("observations") - qui peut ne pas correspondre à celle attendue du recourant ("nouvelle requête de récusation") - ne constitue pas un manquement à l' art. 112 LTF .</w:t>
      </w:r>
    </w:p>
    <w:p>
      <w:r>
        <w:t>Dénué de pertinence, ce grief peut être écarté.</w:t>
      </w:r>
    </w:p>
    <w:p>
      <w:r>
        <w:rPr>
          <w:b/>
        </w:rPr>
        <w:t>E. 3</w:t>
      </w:r>
    </w:p>
    <w:p>
      <w:r>
        <w:t>Le recourant fait grief à l'autorité précédente de n'avoir pas traité son courrier du 9 avril 2019 comme une nouvelle requête de récusation; tel serait cependant le cas et dès lors sa demande aurait dû être transmise au Procureur général intimé pour détermination ( art. 58 al. 2 CPP ). Se référant ensuite à sa demande du 28 janvier 2019, le recourant soutient qu'elle aurait été déposée en temps utile et que les éléments y figurant (passages du livre de C.________, Procureur général ayant été le stagiaire et/ou le collaborateur de l'avocat Loretan) démontreraient les rapports étroits existant entre le Procureur général intimé et l'avocat Loretan; cette "amitié très étroite" serait confirmée par des "éléments très concrets" figurant dans l'article du 5 avril 2019 annexé à son courrier du 9 suivant; ce document avait été transmis par l'avocat D.________ et publié, à l'attention unique des abonnées, sur le site Internet "xxx". Quant à l'ancien Procureur général intimé, le recourant prétend en substance que ce magistrat devrait son élection à ce poste à l'avocat Favre, lequel présidait alors la Commission de justice du Grand Conseil (COJU), le premier étant ainsi redevable au second.</w:t>
      </w:r>
    </w:p>
    <w:p>
      <w:r>
        <w:rPr>
          <w:b/>
        </w:rPr>
        <w:t>E. 3.1</w:t>
      </w:r>
    </w:p>
    <w:p>
      <w:r>
        <w:t>Un magistrat est récusable pour l'un des motifs prévus aux art. 56 let. a à e CPP. Il l'est également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144 I 159 consid. 4.3 p. 162; 143 IV 69 consid. 3.2 p. 74).</w:t>
      </w:r>
    </w:p>
    <w:p>
      <w:r>
        <w:t>De jurisprudence constante, des liens d'amitié ou une inimitié peuvent créer une apparence objective de partialité à condition qu'ils soient d'une certaine intensité. En revanche, des rapports de voisinage, des études ou des obligations militaires communes ou des contacts réguliers dans un cadre professionnel ne suffisent en principe pas ( ATF 144 I 159 consid. 4.3 p. 162). En particulier, une relation d'amitié ou d'inimitié entre un juge et un avocat ne constitue un motif de récusation que dans des circonstances spéciales, qui ne peuvent être admises qu'avec retenue; il faudrait qu'il y ait un lien qui, par son intensité et sa qualité, soit de nature à faire craindre objectivement qu'il influence le juge dans la conduite de la procédure et dans sa décision ( ATF 138 I 1 consid. 2.4 p. 5). Plus généralement, pour être à même de trancher un différend avec impartialité, un juge ne doit pas se trouver dans la sphère d'influence des parties ( ATF 144 I 159 consid. 4.3 p. 163).</w:t>
      </w:r>
    </w:p>
    <w:p>
      <w:r>
        <w:rPr>
          <w:b/>
        </w:rPr>
        <w:t>E. 3.2</w:t>
      </w:r>
    </w:p>
    <w:p>
      <w:r>
        <w:t>S'agissant plus spécifiquement de la récusation d'un représentant du ministère public, il y a lieu de distinguer à quel stade de la procédure celle-ci est demandée. En effet, selon l' art. 16 al. 2 CPP , il incombe à cette autorité de conduire la procédure préliminaire et de poursuivre les infractions dans le cadre de l'instruction d'une part, et de dresser l'acte d'accusation et de soutenir l'accusation d'autre part.</w:t>
      </w:r>
    </w:p>
    <w:p>
      <w:r>
        <w:t>Dans la phase de l'enquête préliminaire, ainsi que de l'instruction et jusqu'à la mise en accusation, le ministère public est l'autorité investie de la direction de la procédure ( art. 61 let. a CPP ). A ce titre, il doit veiller au bon déroulement et à la légalité de la procédure ( art. 62 al. 1 CPP ). Durant l'instruction il doit établir, d'office et avec un soin égal, les faits à charge et à décharge ( art. 6 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 ATF 141 IV 178 consid. 3.2.2 p. 179 s.; 138 IV 142 consid. 2.2.1 p. 145).</w:t>
      </w:r>
    </w:p>
    <w:p>
      <w:r>
        <w:t>En revanche, après la rédaction de l'acte d'accusation, respectivement dans le cadre de procédures de recours, le ministère public devient une partie aux débats, au même titre que le prévenu ou la partie plaignante ( art. 104 al. 1 let . c CPP). Par définition, il n'est plus tenu à l'impartialité et il lui appartient en principe de soutenir l'accusation (art. 16 al. 2 in fine CPP). A ce stade, ni les art. 29 et 30 Cst. , ni l' art. 6 par. 1 CEDH ne confèrent au prévenu une protection particulière lui permettant de se plaindre de l'attitude du ministère public et des opinions exprimées par celui-ci durant les débats ( ATF 141 IV 178 consid. 3.2.2. p. 180; arrêt 1B_48/2019 du 28 mai 2019 consid. 3.2); dans ce cadre, le ministère public représente d'ailleurs des intérêts distincts de ceux de la partie plaignante, qu'il n'a pas vocation à défendre, celle-ci ne pouvant donc en principe se plaindre qu'il renonce, le cas échéant, à soutenir l'accusation ( ATF 138 IV 142 consid. 2.2.2 p. 146).</w:t>
      </w:r>
    </w:p>
    <w:p>
      <w:r>
        <w:rPr>
          <w:b/>
        </w:rPr>
        <w:t>E. 3.3</w:t>
      </w:r>
    </w:p>
    <w:p>
      <w:r>
        <w:t>En l'occurrence, dans la mesure où la cour cantonale a traité la requête de récusation au fond, il n'y a pas lieu d'examiner les éléments avancés pour établir le dépôt en temps utile de la requête du 28 janvier 2019.</w:t>
      </w:r>
    </w:p>
    <w:p>
      <w:r>
        <w:t>Sur le fond, il ne peut être reproché à l'autorité cantonale d'avoir considéré qu'une apparence de prévention ne découlait pas de l'intervention d'un procureur général dans une cause complexe dès lors qu'une telle tâche entrait dans ses compétences. Elle a également retenu, sans que cela ne prête le flanc à la critique, que cette appréciation valait d'autant plus qu'il était fait grief aux deux magistrats intimés de favoriser deux parties plaignantes distinctes. Si le recourant semble soutenir que cette dualité ne serait que fictive, c'est le lieu de préciser qu'il n'appartient pas au juge de la récusation de revoir le statut procédural accordés aux parties dans le cadre de l'instruction.</w:t>
      </w:r>
    </w:p>
    <w:p>
      <w:r>
        <w:t>La cour cantonale a ensuite relevé à juste titre qu'on ne saurait déduire l'établissement de relations particulières de l'absence de déterminations de l'un ou l'autre des magistrats intimés, ce que tente encore de faire le recourant au cours de la procédure fédérale vu le défaut, dans un premier temps, de déterminations du Procureur général Nicolas Dubuis (cf. ad 2 p. 9 des observations du 28 octobre 2019). Si le recourant persiste à soutenir qu'il existerait des relations privées régulières entre les deux magistrats intimés et les deux avocats mis en cause, il n'apporte toujours aucun élément, qui, sur un plan objectif, permettrait d'étayer sa thèse à ce propos. Certes, le livre et l'article invoqués sont effectivement en soi des éléments objectifs. Leur contenu rapporte en revanche une appréciation subjective de la part de leurs auteurs relative à certaines circonstances, appréciation qui ne saurait suffire à établir l'apparence d'une prévention des deux magistrats intimés à l'encontre du recourant. Cette conclusion s'impose d'autant plus que les auteurs sont a priori en conflit avec les autorités valaisannes, respectivement avec l'un des avocats concernés par la présente procédure, ce que ne conteste au demeurant pas le recourant.</w:t>
      </w:r>
    </w:p>
    <w:p>
      <w:r>
        <w:t>En tout état de cause, la collaboration entre l'avocat Loretan et le Procureur général intimé a pris fin en 1996, soit de nombreuses années avant l'intervention, au stade de la procédure d'appel et donc en tant que partie au sens de l' art. 104 al. 1 let . c CPP, du second dans la cause concernant le recourant (2013). A ce stade de la procédure, il ne saurait d'ailleurs être fait grief au représentant du Ministère public d'adopter une attitude plus engagée et/ou d'avoir une position - eu égard aux tâches lui incombant (défense des intérêts publics) - pouvant rejoindre à certains égards les thèses avancées par les parties plaignantes; la stratégie choisie par ces dernières et la manière de la mener ne peut d'ailleurs pas non plus être reprochée au Procureur général intimé. Le recourant ne fait au demeurant état d'aucun comportement critiquable du Procureur général intimé au cours des débats, ce que le premier aurait pu, le cas échéant, signaler immédiatement à la direction de la procédure dans le cadre de ses obligations en matière de police de l'audience ( art. 63 CPP ). Quant à l'ancien Procureur général, la lecture des débats lors de son élection à ce poste en 2001 suffit pour écarter toute apparence de favorisation : l'avocat Favre, en tant que président de la COJU, a donné le préavis favorable aux cinq candidats à un poste de procureur, relevant uniquement à l'attention des membres du Conseil d'État la répartition géographique à respecter (cf. p. 90 s.); l'avocat Favre a ensuite procédé de même dans le cadre de l'élection au poste de Procureur général, pour lequel un seul candidat était présenté (cf. p. 96).</w:t>
      </w:r>
    </w:p>
    <w:p>
      <w:r>
        <w:t>Eu égard à ces considérations, la cour cantonale pouvait dès lors, sans arbitraire, s'estimer suffisamment renseignée et rejeter, de manière anticipée, les réquisitions de preuve du recourant (dont l'audition de l'avocat Loretan et celles des auteurs des écrits). Pour ce même motif, elle pouvait refuser la transmission aux parties des déterminations spontanées du 9 avril 2019 du recourant, ainsi que de l'article alors annexé. C'est le lieu en outre de relever que le recourant ne met en évidence aucun passage de son courrier du 9 avril 2019 qui laisserait supposer qu'il ne s'agisse pas uniquement d'une détermination complémentaire venant appuyer ses précédentes écritures.</w:t>
      </w:r>
    </w:p>
    <w:p>
      <w:r>
        <w:t>Au vu de ces éléments, la cour cantonale pouvait, sans violer le droit fédéral, rejeter la demande de récusation formée par le recourant à l'encontre des deux magistrats intimés.</w:t>
      </w:r>
    </w:p>
    <w:p>
      <w:r>
        <w:rPr>
          <w:b/>
        </w:rPr>
        <w:t>E. 4</w:t>
      </w:r>
    </w:p>
    <w:p>
      <w:r>
        <w:t>Il s'ensuit que le recours est rejeté dans la mesure où il est recevable.</w:t>
      </w:r>
    </w:p>
    <w:p>
      <w:r>
        <w:t>Le recourant a demandé l'assistance judiciaire ( art. 64 al. 1 LTF ). Son recours était cependant d'emblée dénué de chances de succès et cette requête doit être rejetée. Il supporte en conséquence les frais judiciaires ( art. 66 al. 1 LTF ). La mandante de l'avocat Favre, qui obtient gain de cause avec l'assistance de ce dernier, a droit à des dépens à la charge du recourant ( art. 68 al. 1 LTF ). Il en va de même de la partie défendue par l'avocat Loretan; vu les déterminations sommaires produites par ce dernier, cette indemnité sera réduite ( art. 68 al. 1 LTF ). Il n'y a pas lieu d'en allouer au Procureur général et à l'ancien Procureur général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