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1B_336/2022 vom 31. August 2022</w:t>
      </w:r>
    </w:p>
    <w:p>
      <w:r>
        <w:t>Bundesgericht, 2022-08-31, DE</w:t>
      </w:r>
    </w:p>
    <w:p>
      <w:r>
        <w:rPr>
          <w:b/>
        </w:rPr>
        <w:t xml:space="preserve">Quelle: </w:t>
      </w:r>
      <w:r>
        <w:t>https://mcp.opencaselaw.ch/entscheid/bger_1B_336_2022</w:t>
      </w:r>
    </w:p>
    <w:p>
      <w:r>
        <w:t>FR: TF 1B_336/2022 du 31 août 2022</w:t>
      </w:r>
    </w:p>
    <w:p>
      <w:r>
        <w:t>IT: TF 1B_336/2022 del 31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8. Juni 2022 ist das Kantonsgericht Luzern auf die Beschwerde von A.________ gegen die Hausdurchsuchung vom 16. April 2020 nicht eingetreten.</w:t>
      </w:r>
    </w:p>
    <w:p>
      <w:r>
        <w:t>Mit Eingabe vom 20. Juni 2022 beantragt A.________ sinngemäss, diese Verfügung aufzuheben, und ersucht um unentgeltliche Rechtspflege.</w:t>
      </w:r>
    </w:p>
    <w:p>
      <w:r>
        <w:t>Vernehmlassungen wurden keine eingeholt.</w:t>
      </w:r>
    </w:p>
    <w:p>
      <w:r>
        <w:rPr>
          <w:b/>
        </w:rPr>
        <w:t>E. 2</w:t>
      </w:r>
    </w:p>
    <w:p>
      <w:r>
        <w:t>gegen die Hausdurchsuchung vom 16. April 202</w:t>
      </w:r>
    </w:p>
    <w:p>
      <w:r>
        <w:t>0 erhobene Beschwerde sei offensichtlich verspätet und sein Rechtsschutzinteresse an deren Überprüfung sei jedenfalls nicht mehr aktuell - äussert er sich nicht.</w:t>
      </w:r>
    </w:p>
    <w:p>
      <w:r>
        <w:t>Auf die Beschwerde ist damit wegen Verletzung der gesetzlichen Begründungspflicht nicht einzutreten, wobei auf die Erhebung von Kosten ausnahmsweise verzichtet werden kann ( Art. 66 Abs. 1 BGG ). Damit wird sein Gesuch um unentgeltliche Rechtspflege gegenstandslos.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