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330/2021 vom 11. August 2021</w:t>
      </w:r>
    </w:p>
    <w:p>
      <w:r>
        <w:t>Bundesgericht, 2021-08-11, DE</w:t>
      </w:r>
    </w:p>
    <w:p>
      <w:r>
        <w:rPr>
          <w:b/>
        </w:rPr>
        <w:t xml:space="preserve">Quelle: </w:t>
      </w:r>
      <w:r>
        <w:t>https://mcp.opencaselaw.ch/entscheid/bger_1B_330_2021</w:t>
      </w:r>
    </w:p>
    <w:p>
      <w:r>
        <w:t>FR: TF 1B 330/2021 du 11 août 2021</w:t>
      </w:r>
    </w:p>
    <w:p>
      <w:r>
        <w:t>IT: TF 1B 330/2021 del 11 agosto 2021</w:t>
      </w:r>
    </w:p>
    <w:p>
      <w:pPr>
        <w:pStyle w:val="Heading2"/>
      </w:pPr>
      <w:r>
        <w:t>Regeste</w:t>
      </w:r>
    </w:p>
    <w:p>
      <w:r>
        <w:t>Strafverfahren; Rechtsverweigerung/Rechtsverzögerung | Strafprozess</w:t>
      </w:r>
    </w:p>
    <w:p>
      <w:pPr>
        <w:pStyle w:val="Heading2"/>
      </w:pPr>
      <w:r>
        <w:t>Erwägungen</w:t>
      </w:r>
    </w:p>
    <w:p>
      <w:r>
        <w:rPr>
          <w:b/>
        </w:rPr>
        <w:t>E. 1</w:t>
      </w:r>
    </w:p>
    <w:p>
      <w:r>
        <w:t>A.________ teilte der Stadtpolizei Zürich am 20. Oktober 2019 schriftlich mit, B.________ habe am 16. Oktober 2019 eine Morddrohung gegen sie ausgestossen. Am 22. November 2020 reichte A.________ beim Obergericht des Kantons Zürich eine Beschwerde ein. Darin warf sie der Stadtpolizei sinngemäss Rechtsverzögerung bzw. Rechtsverweigerung vor mit der Begründung, sie habe ihre Strafanzeige nicht bearbeitet. Das Obergericht wies die Beschwerde mit Beschluss vom 4. Mai 2021 ab. Mit Beschwerde vom 11. Juni 2021 beantragt A.________ u.a., diesen Beschluss für nichtig zu erklären und aufzuheben. 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Obergericht erwog im angefochtenen Entscheid, die Stadtpolizei habe A.________ nach dem Eingang der Strafanzeige am 20. Oktober 2019 mit Schreiben vom 23. Oktober 2019 ersucht, zwecks Abklärungen mit ihr Kontakt aufzunehmen. Sie habe damit innert kurzer Frist angemessen auf die Strafanzeige reagiert. Da A.________ auf dieses Schreiben nicht reagiert habe - angeblich habe sie es nicht erhalten -, sei die Stadtpolizei nicht verpflichtet gewesen, von sich aus weitere Abklärungen zu tätigen. Auf jeden Fall hätte es an ihr gelegen, sich gelegentlich bei der Stadtpolizei nach dem Stand des Verfahrens zu erkundigen, wenn diese, wie sie behauptet, auf ihre Strafanzeige nicht reagiert hätte. Die Rechtsverzögerungsbeschwerde sei unbegründet. Mit diesen (zutreffenden) Ausführungen setzt sich die Beschwerdeführerin nicht sachgerecht auseinander und legt nicht dar, inwiefern sie bundesrechtswidrig sein sollten. Die Beschwerde geht vielmehr weitgehend an der Sache vorbei, indem Ausführungen zu häuslicher Gewalt, zur (schlechten) Stellung der Frau in der Schweiz und zu anderen Verfahren gemacht werden. Auf die Beschwerde ist wegen Verletzung der gesetzlichen Begründungspflicht nicht einzutreten. Ausgangsgemäss sind die Kosten des Verfahrens der Beschwerdeführerin aufzuerlegen ( Art. 66 Abs. 1 BGG ), wie es ihr im Urteil 1B_224, 225 und 226/2021 vom 21. Mai 2021 für den Fall angedroht wurde, dass sie weitere offensichtlich unbegründete oder unzulässige Beschwerden erheben würde.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