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330/2011 vom 24. Oktober 2011</w:t>
      </w:r>
    </w:p>
    <w:p>
      <w:r>
        <w:t>Bundesgericht, 2011-10-24, DE</w:t>
      </w:r>
    </w:p>
    <w:p>
      <w:r>
        <w:rPr>
          <w:b/>
        </w:rPr>
        <w:t xml:space="preserve">Quelle: </w:t>
      </w:r>
      <w:r>
        <w:t>https://mcp.opencaselaw.ch/entscheid/bger_1B_330_2011</w:t>
      </w:r>
    </w:p>
    <w:p>
      <w:r>
        <w:t>FR: TF 1B 330/2011 du 24 octobre 2011</w:t>
      </w:r>
    </w:p>
    <w:p>
      <w:r>
        <w:t>IT: TF 1B 330/2011 del 24 ottobre 2011</w:t>
      </w:r>
    </w:p>
    <w:p>
      <w:pPr>
        <w:pStyle w:val="Heading2"/>
      </w:pPr>
      <w:r>
        <w:t>Regeste</w:t>
      </w:r>
    </w:p>
    <w:p>
      <w:r>
        <w:t>Einstellung der Strafuntersuchung | Strafprozess</w:t>
      </w:r>
    </w:p>
    <w:p>
      <w:pPr>
        <w:pStyle w:val="Heading2"/>
      </w:pPr>
      <w:r>
        <w:t>Erwägungen</w:t>
      </w:r>
    </w:p>
    <w:p>
      <w:r>
        <w:rPr>
          <w:b/>
        </w:rPr>
        <w:t>E. 1.1</w:t>
      </w:r>
    </w:p>
    <w:p>
      <w:r>
        <w:t>Mit dem angefochtenen Entscheid wird bestätigt, dass das von der Beschwerdeführerin angestrebte Strafverfahren eingestellt bleibt. Damit ist das Verfahren abgeschlossen. Es handelt sich um einen Endentscheid einer letzten kantonalen Instanz in einer Strafsache, gegen den die Beschwerde in Strafsachen zulässig ist ( Art. 78 Abs. 1, Art. 80 Abs. 1, Art. 90 BGG ). Als Geschädigte ist die Beschwerdeführerin zur Beschwerdeführung befugt, sofern sich der angefochtene Entscheid auf ihre Zivilansprüche auswirken kann (Art. 81 Abs. 1 lit. b Ziff. 5 BGG). Dies ist vorliegend nicht der Fall. Nach § 6 Abs. 1 des kantonalen Haftungsgesetzes vom 14. September 1969 (HG/ZH; LS 170.1) haftet der Kanton Zürich für den Schaden, den Angestellte - darunter der Beschwerdegegner - in Ausübung ihrer amtlichen Verpflichtungen Dritten widerrechtlich zufügen. Gemäss § 6 Abs. 4 HG/ZH steht der geschädigten Person kein Anspruch gegen den Angestellten zu. Der angefochtene Entscheid kann sich somit nicht auf allfällige Zivilforderungen der Beschwerdeführerin auswirken (vgl. auch Urteil des Bundesgerichts 1B_250/2011 vom 14. Juli 2011 E. 1.1).</w:t>
      </w:r>
    </w:p>
    <w:p>
      <w:r>
        <w:rPr>
          <w:b/>
        </w:rPr>
        <w:t>E. 1.2</w:t>
      </w:r>
    </w:p>
    <w:p>
      <w:r>
        <w:t>Unbekümmert um die fehlende Legitimation in der Sache kann die Geschädigte die Verletzung von Verfahrensrechten geltend machen. Das nach Art. 81 Abs. 1 lit. b BGG erforderliche rechtlich geschützte Interesse ergibt sich in diesem Fall aus der Berechtigung, am Verfahren teilzunehmen. Ist die Beschwerdeführerin - wie vorliegend - nach kantonalem Recht Partei, kann sie die Verletzung jener Parteirechte rügen, die ihr nach dem kantonalen Verfahrensrecht, der BV oder der EMRK zustehen und deren Missachtung eine formelle Rechtsverweigerung bedeutet. Zulässig sind dabei Rügen, die formeller Natur sind und von der Prüfung der Sache getrennt werden können. Nicht zu hören sind dagegen Rügen, die im Ergebnis auf eine materielle Überprüfung des angefochtenen Entscheids abzielen. Eine in der Sache nicht legitimierte Beschwerdeführerin kann deshalb weder die Beweiswürdigung kritisieren, noch kann sie geltend machen, die Begründung sei materiell unzutreffend ("Star-Praxis"; BGE 136 IV 41 E. 1.4 S. 44). Die Beschwerdeführerin rügt, die Einstellung des Strafverfahrens verletze sie in ihrer Menschenwürde, verstosse gegen das Gebot der Rechtsgleichheit und das Prinzip von Treu und Glauben, sei willkürlich und missachte ihren Anspruch auf gerechte Behandlung. Soweit die Vorbringen überhaupt genügend substanziiert sind, macht die Beschwerdeführerin hiermit nicht die Verletzung von Verfahrensrechten geltend, sondern kritisiert den Entscheid in der Sache, wozu sie nach der dargelegten "Star-Praxis" nicht befugt ist.</w:t>
      </w:r>
    </w:p>
    <w:p>
      <w:r>
        <w:rPr>
          <w:b/>
        </w:rPr>
        <w:t>E. 2</w:t>
      </w:r>
    </w:p>
    <w:p>
      <w:r>
        <w:t>Auf die Beschwerde ist damit mangels Legitimation der Beschwerdeführerin nicht einzutreten. Diese hat die Gerichtskosten zu tragen ( Art. 66 Abs. 1 BGG ) und dem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