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1B_329/2020 vom 15. Juli 2020</w:t>
      </w:r>
    </w:p>
    <w:p>
      <w:r>
        <w:t>Bundesgericht, 2020-07-15, DE</w:t>
      </w:r>
    </w:p>
    <w:p>
      <w:r>
        <w:rPr>
          <w:b/>
        </w:rPr>
        <w:t xml:space="preserve">Quelle: </w:t>
      </w:r>
      <w:r>
        <w:t>https://mcp.opencaselaw.ch/entscheid/bger_1B_329_2020</w:t>
      </w:r>
    </w:p>
    <w:p>
      <w:r>
        <w:t>FR: TF 1B_329/2020 du 15 juillet 2020</w:t>
      </w:r>
    </w:p>
    <w:p>
      <w:r>
        <w:t>IT: TF 1B_329/2020 del 15 luglio 2020</w:t>
      </w:r>
    </w:p>
    <w:p>
      <w:pPr>
        <w:pStyle w:val="Heading2"/>
      </w:pPr>
      <w:r>
        <w:t>Erwägungen</w:t>
      </w:r>
    </w:p>
    <w:p>
      <w:r>
        <w:rPr>
          <w:b/>
        </w:rPr>
        <w:t>E. 1</w:t>
      </w:r>
    </w:p>
    <w:p>
      <w:r>
        <w:t>Anfechtungsobjekt ist ein letztinstanzlicher kantonaler Entscheid über ein Gesuch um Entlassung aus der Sicherheitshaft im hängigen Berufungsverfahren (Art. 222 Satz 2 i.V.m. Art. 233 StPO ). Dagegen ist die Beschwerde an das Bundesgericht zulässig (Art. 80 Abs. 1 und Abs. 2 Satz 3 BGG). Die Sachurteilsvoraussetzungen von Art. 78 ff. BGG sind grundsätzlich erfüllt und geben zu keinen Vorbemerkungen Anlass.</w:t>
      </w:r>
    </w:p>
    <w:p>
      <w:r>
        <w:rPr>
          <w:b/>
        </w:rPr>
        <w:t>E. 2</w:t>
      </w:r>
    </w:p>
    <w:p>
      <w:r>
        <w:t>Der Beschwerdeführer bestreitet zunächst den dringenden Tatverdacht eines Verbrechens oder Vergehens.</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rPr>
          <w:b/>
        </w:rPr>
        <w:t>E. 2.2</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1B_514/2018 vom 3. Dezember 2018 E. 3.2; 1B_176/2018 vom 2. Mai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 Wenn bereits ein Urteil des erstinstanzlichen Strafgerichts vorliegt, hat jene Partei, welche den dringenden Tatverdacht in Widerspruch zum Gerichtsurteil bestreitet, darzulegen, inwiefern das auf Schuldspruch lautende Urteil klarerweise fehlerhaft erscheint bzw. inwiefern eine entsprechende Korrektur im Berufungsverfahren mit erheblicher Wahrscheinlichkeit zu erwarten ist (Urteile 1B_514/2018 E. 3.2; 1B_176/2018 E. 3.2; 1B_171/2015 vom 27. Mai 2015 E. 5.3; je mit Hinweisen).</w:t>
      </w:r>
    </w:p>
    <w:p>
      <w:r>
        <w:rPr>
          <w:b/>
        </w:rPr>
        <w:t>E. 2.3</w:t>
      </w:r>
    </w:p>
    <w:p>
      <w:r>
        <w:t>Es kann offen bleiben, ob die vom Beschwerdeführer erhobene Rüge, es fehle an einem dringenden Tatverdacht für ein Verbrechen, ausreichend substanziiert erscheint (vgl. Art. 42 Abs. 2 Satz 1 BGG ). Dies gilt insbesondere für seine Vorbringen, er lebe "in geordneten privaten und beruflichen Verhältnissen", eine Strangulation des Opfers, welche zu einem Kehlkopfbruch geführt hätte, sei nicht bewiesen, und Tatmotive seien ebenfalls nicht ersichtlich. Das Bundesgericht hatte schon anlässlich einer früheren Haftprüfung erwogen, die Beweislage gegen den Beschuldigten erscheine erdrückend (Urteil 1B_19/2019 vom 4. Februar 2019 E. 2.4). Nach der Anklageerhebung am 21. Januar 2019 und der unterdessen erfolgten erstinstanzlichen Verurteilung vom 3. Juli 2019 durch das Bezirksgericht Horgen wegen vorsätzlicher Tötung hat sich der dringende Tatverdacht eines Schwerverbrechens noch zusätzlich erhärtet. Was der Beschwerdeführer vorbringt, lässt den erstinstanzlichen Schuldspruch aus haftrichterlicher Sicht nicht als offensichtlich fehlerhaft (im Sinne der oben dargelegten Praxis) erscheinen. Mit seiner appellatorischen Interpretation der Beweisergebnisse wird sich die zuständige Berufungsinstanz im hängigen Berufungsverfahren zu befassen haben.</w:t>
      </w:r>
    </w:p>
    <w:p>
      <w:r>
        <w:rPr>
          <w:b/>
        </w:rPr>
        <w:t>E. 3</w:t>
      </w:r>
    </w:p>
    <w:p>
      <w:r>
        <w:t>Der Beschwerdeführer bestreitet weiter den besonderen Haftgrund der Wiederholungsgefahr. Diesbezüglich hätten sich (seit den letzten Haftprüfungen) "grundlegende Dinge geändert". Insbesondere gebe es "keine Anzeichen für eine ungünstige Prognose" mehr. Der psychiatrische Gutachter sei von einem "tendenziell geringen" Rückfallrisiko für schwere Gewaltdelikte ausgegangen.</w:t>
      </w:r>
    </w:p>
    <w:p>
      <w:r>
        <w:rPr>
          <w:b/>
        </w:rPr>
        <w:t>E. 3.1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w:t>
      </w:r>
    </w:p>
    <w:p>
      <w:r>
        <w:t>Bei der Beurteilung der</w:t>
      </w:r>
    </w:p>
    <w:p>
      <w:r>
        <w:t>Schwere der drohenden Delikte sind neben der abstrakten Strafdrohung gemäss Gesetz insbesondere auch das betroffene Rechtsgut und der Kontext, namentlich die konkret vom Beschuldigten ausgehende Gefährlichkeit bzw. das bei ihm vorhandene Gewaltpotenzial, einzubeziehen. Die</w:t>
      </w:r>
    </w:p>
    <w:p>
      <w:r>
        <w:t>erhebliche Gefährdung der Sicherheit anderer durch drohende Verbrechen oder schwere Vergehen kann sich grundsätzlich auf Rechtsgüter jeder Art beziehen. Im Vordergrund stehen Delikte gegen die körperliche und sexuelle Integrität ( BGE 143 IV 9 E. 2.6-2.7 S. 14-16 mit Hinweisen).</w:t>
      </w:r>
    </w:p>
    <w:p>
      <w:r>
        <w:t>Massgebliche Kriterien bei der Beurteilung der</w:t>
      </w:r>
    </w:p>
    <w:p>
      <w:r>
        <w:t>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w:t>
      </w:r>
    </w:p>
    <w:p>
      <w:r>
        <w:t>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w:t>
      </w:r>
    </w:p>
    <w:p>
      <w:r>
        <w:t>ungünstige Rückfallprognose zur Annahme von Wiederholungsgefahr notwendig, grundsätzlich aber auch ausreichend ist ( BGE 143 IV 9 E. 2.8-2.10 S. 16 f. mit Hinweisen). Besonders bei drohenden schweren Gewaltverbrechen ist dabei auch dem psychischen Zustand der beschuldigten Person bzw. ihrer Unberechenbarkeit oder Aggressivität Rechnung zu tragen ( BGE 143 IV 9 E. 2.8 S. 16; 140 IV 19 E. 2.1.1 S. 21 f.).</w:t>
      </w:r>
    </w:p>
    <w:p>
      <w:r>
        <w:t>Was das</w:t>
      </w:r>
    </w:p>
    <w:p>
      <w:r>
        <w:t>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S. 13; 137 IV 84 E. 3.2 S. 86 mit Hinweisen). Die Gefährlichkeit des Täters lässt sich in diesem Sinne sowohl aufgrund von bereits abgeurteilten Vortaten beurteilen als auch im Gesamtkontext der ihm neu vorgeworfenen Delikte, sofern mit ausreichender Wahrscheinlichkeit erstellt ist, dass er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3.3</w:t>
      </w:r>
    </w:p>
    <w:p>
      <w:r>
        <w:t>In seinem (oben bereits erwähnten) konnexen Urteil 1B_19/2019 vom 4. Februar 2019 hat das Bundesgericht den Haftgrund der Wiederholungsgefahr im Falle des Beschwerdeführers bejaht. Es erwog dabei (zusammengefasst) Folgendes:</w:t>
      </w:r>
    </w:p>
    <w:p>
      <w:r>
        <w:t>Angesichts der erdrückenden Beweislage für ein Tötungsdelikt verletzten die kantonalen Instanzen kein Bundesrecht, wenn sie das sogenannte "Vortatenerfordernis" (im Sinne der einschlägigen Rechtsprechung) bejahen. Der medizinische Sachverständige habe betont, dass seine Risikoprognose auf "unvollständiger Grundlage" bzw. gestützt auf die Strafakten habe erfolgen müssen, da der Beschwerdeführer die psychiatrische Exploration verweigert habe. Auch ein ergänzender Beizug der IV-Akten sei an dessen mangelnder Kooperation gescheitert. Zwar sei unbestritten, dass der Experte in seinem Aktengutachten kein "hohes" einschlägiges Rückfallrisiko für Tötungsdelikte habe bestätigen können. Nach der einschlägigen Rechtsprechung setze der Haftgrund der Wiederholungsgefahr bei drohenden schweren Gewaltverbrechen jedoch kein hohes Rückfallrisiko voraus. Es genüge in solchen schwerwiegenden Fällen grundsätzlich eine ungünstige Legalprognose. Diese liege vor. Insbesondere befürchte der Experte, dass der Beschwerdeführer sich erneut sehr aggressiv verhalten werde, dies "am ehesten gegenüber Partnerinnen" und unter Alkoholeinfluss. Die kantonalen Instanzen hätten die bekannten Risikofaktoren einer Gesamtbetrachtung unterzogen, darunter die ausgeprägte Neigung des Beschwerdeführers zu Gewalttätigkeiten, eine diesbezügliche Aggravationstendenz sowie Anzeichen für chronischen Alkoholmissbrauch. Dass sie von einer ungünstigen Rückfallprognose für weitere schwere Gewaltverbrechen ausgehen und den Haftgrund der Wiederholungsgefahr bejahen, halte vor dem Bundesrecht stand (vgl. Urteil 1B_19/2019 E. 2.4-2.6).</w:t>
      </w:r>
    </w:p>
    <w:p>
      <w:r>
        <w:rPr>
          <w:b/>
        </w:rPr>
        <w:t>E. 3.4</w:t>
      </w:r>
    </w:p>
    <w:p>
      <w:r>
        <w:t>Die Vorinstanz verweist im angefochtenen Entscheid auf diese Erwägungen (im Urteil 1B_19/2019) sowie auf analoge Überlegungen in unterdessen erfolgten weiteren Haftprüfungen (Entscheide des kantonalen Zwangsmassnahmengerichtes vom 4. Februar und 6. Mai 2019, des Bezirksgerichtes Horgen vom 3. Juli, 2. Oktober und 13. Dezember 2019, bzw. des Obergerichtes vom 20. Januar und 9. März 2020). Diesbezüglich hätten sich die haftrelevanten Umstände nicht verändert. Aufgrund der erdrückenden Beweislage sei das Vortatenerfordernis erfüllt. Angesicht der Schwere der Tatvorwürfe gegen den Beschuldigten und seines Alkoholproblems sei die Gefährdung der Sicherheit anderer als erheblich einzustufen. Derzeit müsse damit gerechnet werden, dass er nach einer Freilassung erneut massive Gewaltverbrechen unter Alkoholeinfluss verüben könnte (vgl. angefochtener Entscheid, S. 4).</w:t>
      </w:r>
    </w:p>
    <w:p>
      <w:r>
        <w:rPr>
          <w:b/>
        </w:rPr>
        <w:t>E. 3.5</w:t>
      </w:r>
    </w:p>
    <w:p>
      <w:r>
        <w:t>Was der Beschwerdeführer dagegen einwendet, lässt den Haftgrund der Wiederholungsgefahr nicht dahinfallen. Dies gilt namentlich für seine Vorbringen, er habe das Opfer "pflegehalber" bei sich einquartiert und in der Tatnacht nur "umgebettet", es müsse als offen gelten, "wo und wodurch" das Opfer die tödlichen Verletzungen erlitt, der Vorwurf häuslicher Gewalt oder früherer Tätlichkeiten stimme nicht, und der gutachterliche Befund, wonach weitere Aggressionen des Beschwerdeführers gegen andere Personen nicht ausgeschlossen werden könnten, sei so zu interpretieren, dass der Sachverständige "Gewalttaten explizit ausgeschlossen" habe.</w:t>
      </w:r>
    </w:p>
    <w:p>
      <w:r>
        <w:t>Die Rügen der Verletzung von Art. 221 Abs. 1 lit. c StPO bzw. der persönlichen Freiheit ( Art. 10 Abs. 2 BV ) erweisen sich als unbegründet. Soweit der Beschwerdeführer von den Tatsachenfeststellungen der kantonalen Instanzen (insbesondere des erstinstanzlichen Strafgerichtes) abweicht, aber nicht nachvollziehbar darlegt, weshalb die betreffenden Erwägungen offensichtlich unzutreffend seien, erhebt er keine ausreichend substanziierten Rügen (vgl. Art. 42 Abs. 2 Satz 1 i.V.m.    Art. 97 Abs. 1BGG). Die weiteren von ihm angerufenen Normen haben im vorliegenden Zusammenhang keine über das bereits Dargelegte hinausgehende selbstständige Bedeutung.</w:t>
      </w:r>
    </w:p>
    <w:p>
      <w:r>
        <w:rPr>
          <w:b/>
        </w:rPr>
        <w:t>E. 4</w:t>
      </w:r>
    </w:p>
    <w:p>
      <w:r>
        <w:t>Die Beschwerde ist abzuweisen, soweit darauf eingetreten werden kann.</w:t>
      </w:r>
    </w:p>
    <w:p>
      <w:r>
        <w:t>Der Beschwerdeführer stellt ein Gesuch um unentgeltliche Prozessführung. Da die gesetzlichen Voraussetzungen erfüllt sind, ist das Gesuch zu bewilligen ( Art. 64 BGG ) und sind keine Gerichtskosten zu erheben. Der Beschwerdeführer hat die Beschwerdeschrift persönlich unterzeichnet und eingereicht. Im Verfahren vor dem Bundesgericht war er nicht durch seinen amtlichen Verteidiger vertreten, weshalb das Gesuch um unentgeltliche Rechtsverbeiständung hinfällig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