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1B_329/2012 vom 18. September 2012</w:t>
      </w:r>
    </w:p>
    <w:p>
      <w:r>
        <w:t>Bundesgericht, 2012-09-18, FR</w:t>
      </w:r>
    </w:p>
    <w:p>
      <w:r>
        <w:rPr>
          <w:b/>
        </w:rPr>
        <w:t xml:space="preserve">Quelle: </w:t>
      </w:r>
      <w:r>
        <w:t>https://mcp.opencaselaw.ch/entscheid/bger_1B_329_2012</w:t>
      </w:r>
    </w:p>
    <w:p>
      <w:r>
        <w:t>FR: TF 1B_329/2012 du 18 septembre 2012</w:t>
      </w:r>
    </w:p>
    <w:p>
      <w:r>
        <w:t>IT: TF 1B_329/2012 del 18 settembre 2012</w:t>
      </w:r>
    </w:p>
    <w:p>
      <w:pPr>
        <w:pStyle w:val="Heading2"/>
      </w:pPr>
      <w:r>
        <w:t>Erwägungen</w:t>
      </w:r>
    </w:p>
    <w:p>
      <w:r>
        <w:rPr>
          <w:b/>
        </w:rPr>
        <w:t>E. 1</w:t>
      </w:r>
    </w:p>
    <w:p>
      <w:r>
        <w:t>La décision attaquée a été rendue en matière pénale au sens de l' art. 78 LTF . Elle a un caractère final ( art. 90 LTF ) et émane de l'autorité cantonale de dernière instance ( art. 80 LTF ). Le recourant a agi en temps utile ( art. 100 al. 1 LTF ).</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Selon l' art. 42 al. 1 LTF , il incombe notamment au recourant d'alléguer les faits qu'il considère comme propres à fonder sa qualité pour recourir (cf. ATF 133 II 353 consid. 1 p. 356, 249 consid. 1.1 p. 251).</w:t>
      </w:r>
    </w:p>
    <w:p>
      <w:r>
        <w:t>Lorsque, comme en l'espèce, le recours est dirigé contre une décision de non-entrée en matière sur une plainte pénale, il n'est pas nécessaire que la partie plaignante ait déjà pris des conclusions civiles ( ATF 137 IV 246 consid. 1.3.1). En revanche, elle doit expliquer dans son mémoire quelles sont ces prétentions et en quoi la décision attaquée pourrait influencer négativement leur jugement, à moins que, compte tenu notamment de la nature de l'infraction alléguée, l'on puisse le déduire directement et sans ambiguïté ( ATF 137 IV 219 consid. 2.4 p. 222 et les arrêts cités).</w:t>
      </w:r>
    </w:p>
    <w:p>
      <w:r>
        <w:rPr>
          <w:b/>
        </w:rPr>
        <w:t>E. 1.2</w:t>
      </w:r>
    </w:p>
    <w:p>
      <w:r>
        <w:t>Le recourant estime que la reconnaissance de faux témoignages aurait une influence sur le jugement des prétentions civiles dirigées contre son employeur, lesquelles s'élèvent à quelque 220'000 fr. et sont actuellement soumises au Tribunal des Prud'hommes. On peut toutefois se demander si les témoignages incriminés sont propres à influer sur le jugement à rendre. En effet, le juge civil pourrait être amené à se fonder sur les trois documents rédigés par les intimés (lesquels ne constituent pas des témoignages à proprement parler) dans la mesure où leur contenu matériel, soit les reproches formulés à l'encontre du recourant, devrait être considéré comme suffisamment établi par ailleurs. Les témoignages ultérieurs relatifs aux seules circonstances dans lesquelles ces documents ont été rédigés, apparaîtraient alors sans pertinence.</w:t>
      </w:r>
    </w:p>
    <w:p>
      <w:r>
        <w:t>La question peut, en définitive, demeurer indécise, car, supposé recevable, le recours devrait de toute façon être rejeté au fond.</w:t>
      </w:r>
    </w:p>
    <w:p>
      <w:r>
        <w:rPr>
          <w:b/>
        </w:rPr>
        <w:t>E. 2</w:t>
      </w:r>
    </w:p>
    <w:p>
      <w:r>
        <w:t>Reprenant l'ensemble de son argumentation à charge, le recourant se plaint d'une constatation inexacte des faits et d'appréciation arbitraire des preuves. Les trois lettres produites présentent la même mise en page (marges, espaces, police de caractères), le même destinataire (avec l'adresse libellée de la même façon), les mêmes tournures (formules d'introduction, sous-titres, certaines phrases entières ainsi que des formulations juridiques), de sorte qu'il serait impossible que ces documents aient été établis sans concertation. Contrairement à ce que retient la cour cantonale, le fait que les trois personnes impliquées travaillent dans le même service et avec les mêmes outils informatiques ne suffirait pas à expliquer ces similitudes. La cour cantonale n'expliquerait pas non plus de manière satisfaisante la contradiction entre le rapport de "gestion des performances" du 4 décembre 2007, très favorable au recourant, et les critiques graves formulées par la même personne quelques mois après dans le document litigieux. La réunion des témoins le jour de l'audience, dans les bureaux de l'employeur, confirmerait les soupçons de concertation.</w:t>
      </w:r>
    </w:p>
    <w:p>
      <w:r>
        <w:rPr>
          <w:b/>
        </w:rPr>
        <w:t>E. 2.1</w:t>
      </w:r>
    </w:p>
    <w:p>
      <w:r>
        <w:t>Selon l' art. 310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 art. 8 CPP (let. c).</w:t>
      </w:r>
    </w:p>
    <w:p>
      <w:r>
        <w:t>Le principe "in dubio pro duriore"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137 IV 285 consid. 2.5 p. 288).</w:t>
      </w:r>
    </w:p>
    <w:p>
      <w:r>
        <w:rPr>
          <w:b/>
        </w:rPr>
        <w:t>E. 2.2</w:t>
      </w:r>
    </w:p>
    <w:p>
      <w:r>
        <w:t>Pour l'essentiel, les similitudes relevées par le recourant concernent les lettres des 7 avril 2008 (C.________) et 8 avril 2008 (D.________). Celle du 4 avril 2008 (E.________), outre un même destinataire (ce qui s'explique puisque les témoins devaient adresser leurs commentaires à cette même personne), une police et une mise en page similaires (qui peut aussi s'expliquer par l'usage commun d'un logiciel de traitement de texte dans le cadre d'un même service), se distingue clairement des deux autres par sa présentation et les termes employés. Les deux lettres des 7 et 8 avril 2008 contiennent en revanche des similitudes plus marquées. Ainsi, la tournure introductive, deux sous-titres ainsi que certaines phrases sont rédigés de manière identique ou contiennent des expressions semblables.</w:t>
      </w:r>
    </w:p>
    <w:p>
      <w:r>
        <w:t>Comme le relève la cour cantonale, il est très possible que les témoins aient évoqué ensemble les problèmes rencontrés avec le recourant. Par ailleurs, il est admis que les trois intéressés ont rencontré le responsable du service juridique en Espagne, chargé d'une enquête interne. Ils ont d'abord eu une discussion avec celui-ci avant de rédiger leurs rapports. Ces différents échanges ont ainsi pu faire ressortir divers points communs entre les reproches formulés, sans pour autant qu'il y ait de véritable concertation. En dépit des similitudes qu'ils présentent, les trois documents font état de griefs spécifiques reposant sur l'expérience personnelle de chacun de leurs auteurs. La cour cantonale a également reconnu l'apparente contradiction entre les reproches formulés par D.________ et la teneur du rapport de "gestion des performances" auquel elle a participé le 4 décembre 2007. Celle-ci a toutefois expliqué qu'elle n'avait fait que répondre à un questionnaire remis par le recourant et que si certaines qualités lui avaient été reconnues à cette occasion, d'autres problèmes (écarts de conduite et manque de respect envers ses subordonnés) lui avaient également déjà été reprochés à la même période.</w:t>
      </w:r>
    </w:p>
    <w:p>
      <w:r>
        <w:t>Quant aux soupçons relatifs à la séance dans les locaux de l'employeur le jour de l'audience, ils reposent sur de simples conjectures. On ne saurait en tout cas y voir un indice de faux témoignage ou d'instigation, s'agissant des circonstances dans lesquelles les rapports des trois intéressés ont été rédigés.</w:t>
      </w:r>
    </w:p>
    <w:p>
      <w:r>
        <w:t>Dans ces conditions, la décision de non-entrée en matière ne procède ni d'une appréciation arbitraire de preuves, ni d'une violation de l' art. 310 CPP .</w:t>
      </w:r>
    </w:p>
    <w:p>
      <w:r>
        <w:rPr>
          <w:b/>
        </w:rPr>
        <w:t>E. 3</w:t>
      </w:r>
    </w:p>
    <w:p>
      <w:r>
        <w:t>Sur le vu de ce qui précède, le recours doit être rejeté, en tant qu'il est recevable. Cette issue était d'emblée prévisible, ce qui conduit au rejet de la demande d'assistance judiciaire sans qu'il y ait à s'interroger sur l'indigence du recourant. Parmi les intimés, seul B.________ a déposé des observations. Il l'a fait sans recourir à un avocat, de sorte qu'il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