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327/2015 vom 24. September 2015</w:t>
      </w:r>
    </w:p>
    <w:p>
      <w:r>
        <w:t>Bundesgericht, 2015-09-24, DE</w:t>
      </w:r>
    </w:p>
    <w:p>
      <w:r>
        <w:rPr>
          <w:b/>
        </w:rPr>
        <w:t xml:space="preserve">Quelle: </w:t>
      </w:r>
      <w:r>
        <w:t>https://mcp.opencaselaw.ch/entscheid/bger_1B_327_2015</w:t>
      </w:r>
    </w:p>
    <w:p>
      <w:r>
        <w:t>FR: TF 1B 327/2015 du 24 septembre 2015</w:t>
      </w:r>
    </w:p>
    <w:p>
      <w:r>
        <w:t>IT: TF 1B 327/2015 del 24 settembre 2015</w:t>
      </w:r>
    </w:p>
    <w:p>
      <w:pPr>
        <w:pStyle w:val="Heading2"/>
      </w:pPr>
      <w:r>
        <w:t>Regeste</w:t>
      </w:r>
    </w:p>
    <w:p>
      <w:r>
        <w:t>Strafverfahren; | Strafprozess</w:t>
      </w:r>
    </w:p>
    <w:p>
      <w:pPr>
        <w:pStyle w:val="Heading2"/>
      </w:pPr>
      <w:r>
        <w:t>Erwägungen</w:t>
      </w:r>
    </w:p>
    <w:p>
      <w:r>
        <w:rPr>
          <w:b/>
        </w:rPr>
        <w:t>E. 1</w:t>
      </w:r>
    </w:p>
    <w:p>
      <w:r>
        <w:t>A.________ ist in zwei Strafverfahren involviert, die zurzeit bei der I. Strafkammer des Obergerichts des Kantons Zürich hängig sind. In einem Verfahren nimmt sie die prozessuale Stellung einer Privatklägerin ein (Berufungsverfahren SB 150231). Sie wirft den Polizeibeamten B.________ und C.________ Amtsmissbrauch, vorsätzliche einfache Körperverletzung, fahrlässige schwere Körperverletzung und Hausfriedensbruch vor. Im vorliegenden zweiten Verfahren hat A.________ die prozessuale Stellung einer Beschuldigten (Berufungsverfahren SB 140239), der mehrfach versuchte Gewalt und Drohung gegen Behörden und Beamte, eventualiter mehrfache Drohung vorgeworfen wird. Im Verfahren SB 140239 wies der Präsident der I. Strafkammer des Obergerichts des Kantons Zürich - soweit hier interessierend - mit Verfügung vom 5. August 2015 den Antrag von A.________ auf Zusammenlegung und gleichzeitige Beurteilung der beiden Berufungsverfahren SB 140239 und SB 150231 ab. Zur Begründung führte er zusammenfassend aus, dass die Voraussetzungen gemäss Art. 29 Abs. 1 StPO für eine gemeinsame Beurteilung der Verfahren nicht erfüllt seien.</w:t>
      </w:r>
    </w:p>
    <w:p>
      <w:r>
        <w:rPr>
          <w:b/>
        </w:rPr>
        <w:t>E. 2</w:t>
      </w:r>
    </w:p>
    <w:p>
      <w:r>
        <w:t>A.________ führt mit Eingabe vom 16. September 2015 Beschwerde in Strafsachen gegen die Verfügung der I. Strafkammer des Obergerichts des Kantons Zürich vom 5. August 2015 und beantragt eine Vereinigung der Verfahren.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Die Beschwerdeführerin vermag mit ihren weitschweifigen Ausführungen nicht aufzuzeigen, inwiefern die I. Strafkammer des Obergerichts das Gesuch um Zusammenlegung und gleichzeitige Beurteilung der Berufungsverfahren in rechts- bzw. verfassungswidriger Weise abgelehnt haben sollte. Aus der Beschwerde ergibt sich nicht, inwiefern die Begründung der I. Strafkammer bzw. deren Verfügung selbst rechts- bzw. verfassungswidrig sein soll. Die Beschwerde genügt den gesetzlichen Formerfordernissen offensichtlich nicht, weshalb auf sie im vereinfachten Verfahren nach Art. 108 Abs. 1 BGG nicht einzutreten ist. Da die Beschwerde den Begründungsanforderungen offensichtlich nicht genügt, kann offen bleiben, ob es sich bei der Verfügung der I. Strafkammer überhaupt um einen anfechtbaren Entscheid im Sinne von Art. 93 Abs. 1 BGG handelt.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