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326/2011 vom 30. August 2011</w:t>
      </w:r>
    </w:p>
    <w:p>
      <w:r>
        <w:t>Bundesgericht, 2011-08-30, DE</w:t>
      </w:r>
    </w:p>
    <w:p>
      <w:r>
        <w:rPr>
          <w:b/>
        </w:rPr>
        <w:t xml:space="preserve">Quelle: </w:t>
      </w:r>
      <w:r>
        <w:t>https://mcp.opencaselaw.ch/entscheid/bger_1B_326_2011</w:t>
      </w:r>
    </w:p>
    <w:p>
      <w:r>
        <w:t>FR: TF 1B 326/2011 du 30 août 2011</w:t>
      </w:r>
    </w:p>
    <w:p>
      <w:r>
        <w:t>IT: TF 1B 326/2011 del 30 agosto 2011</w:t>
      </w:r>
    </w:p>
    <w:p>
      <w:pPr>
        <w:pStyle w:val="Heading2"/>
      </w:pPr>
      <w:r>
        <w:t>Regeste</w:t>
      </w:r>
    </w:p>
    <w:p>
      <w:r>
        <w:t>Akteneinsicht etc. | Strafprozess</w:t>
      </w:r>
    </w:p>
    <w:p>
      <w:pPr>
        <w:pStyle w:val="Heading2"/>
      </w:pPr>
      <w:r>
        <w:t>Erwägungen</w:t>
      </w:r>
    </w:p>
    <w:p>
      <w:r>
        <w:rPr>
          <w:b/>
        </w:rPr>
        <w:t>E. 1.1</w:t>
      </w:r>
    </w:p>
    <w:p>
      <w:r>
        <w:t>Gegen den angefochtenen Entscheid ist gemäss Art. 78 Abs. 1 BGG die Beschwerde in Strafsachen gegeben.</w:t>
      </w:r>
    </w:p>
    <w:p>
      <w:r>
        <w:rPr>
          <w:b/>
        </w:rPr>
        <w:t>E. 1.2</w:t>
      </w:r>
    </w:p>
    <w:p>
      <w:r>
        <w:t>Die Vorinstanz hat kantonal letztinstanzlich entschieden. Die Beschwerde ist nach Art. 80 BGG zulässig.</w:t>
      </w:r>
    </w:p>
    <w:p>
      <w:r>
        <w:rPr>
          <w:b/>
        </w:rPr>
        <w:t>E. 1.3</w:t>
      </w:r>
    </w:p>
    <w:p>
      <w:r>
        <w:t>Der Beschwerdeführer ist gemäss Art. 81 Abs. 1 lit. a i.V.m. lit. b Ziff. 1 BGG zur Beschwerde befugt.</w:t>
      </w:r>
    </w:p>
    <w:p>
      <w:r>
        <w:rPr>
          <w:b/>
        </w:rPr>
        <w:t>E. 1.4</w:t>
      </w:r>
    </w:p>
    <w:p>
      <w:r>
        <w:t>Beim angefochtenen Entscheid handelt es sich um einen Zwischenentscheid gemäss Art. 93 BGG . Nach Absatz 1 dieser Bestimmung ist gegen einen solchen Entscheid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 Inwiefern diese Voraussetzung jeweils erfüllt ist, wird im Zusammenhang mit den einzelnen Rügen zu erörtern sein.</w:t>
      </w:r>
    </w:p>
    <w:p>
      <w:r>
        <w:rPr>
          <w:b/>
        </w:rPr>
        <w:t>E. 2.1</w:t>
      </w:r>
    </w:p>
    <w:p>
      <w:r>
        <w:t>Der Beschwerdeführer bringt (Beschwerde S. 5 ff. Ziff. III/A) vor, er wolle Einsicht in die Akten betreffend das Rechtshilfeersuchen vom 7. Juli 2010, damit er prüfen könne, ob die kantonale Strafverfolgungsbehörde das Beschleunigungsgebot nicht erneut verletze. Die Verweigerung der Einsicht in diese Akten verstosse gegen Art. 107 f. StPO, Art. 29 Abs. 2 BV und Art. 6 Ziff. 1 EMRK .</w:t>
      </w:r>
    </w:p>
    <w:p>
      <w:r>
        <w:rPr>
          <w:b/>
        </w:rPr>
        <w:t>E. 2.2.1</w:t>
      </w:r>
    </w:p>
    <w:p>
      <w:r>
        <w:t>Die Eintretensvoraussetzung nach Art. 93 Abs. 1 lit. b BGG ist insoweit nicht gegeben, da mit der Gutheissung der Beschwerde kein Endentscheid herbeigeführt werden könnte.</w:t>
      </w:r>
    </w:p>
    <w:p>
      <w:r>
        <w:rPr>
          <w:b/>
        </w:rPr>
        <w:t>E. 2.2.2</w:t>
      </w:r>
    </w:p>
    <w:p>
      <w:r>
        <w:t>Es stellt sich die Frage, ob die Eintretensvoraussetzung gemäss Art. 93 Abs. 1 lit. a BGG erfüllt sei. Ein im Sinne dieser Bestimmung nicht wieder gutzumachender Nachteil muss rechtlicher Natur und somit auch mit einem für den Beschwerdeführer günstigen Endentscheid nicht oder nicht vollständig behebbar sein. Es ist nicht nötig, dass sich der Nachteil schon im kantonalen Verfahren durch einen günstigen Endentscheid beheben lässt. Es reicht aus, wenn er in einem anschliessenden bundesgerichtlichen Verfahren beseitigt werden kann ( BGE 136 IV 92 E. 4 S. 95; 134 III 188 E. 2.1 f. S. 190 f.; je mit Hinweisen). Nach der Rechtsprechung hat die Verweigerung der Akteneinsicht grundsätzlich keinen nicht wieder gutzumachenden Nachteil rechtlicher Natur zur Folge. So verhält es sich - ausser wenn sich der Beschuldigte in Haft befindet - auch bei strafrechtlichen Entscheiden, welche die Akteneinsicht dem Beschuldigten oder seinem Verteidiger während der Strafuntersuchung verweigern oder beschränken, sofern die Akteneinsicht im weiteren Verlauf des Verfahrens ohne Einschränkung gewährt wird (BGE 1B_261/2011 vom 6. Juni 2011 E. 2; Urteile 1B_ 290/2010 vom 10. September 2010 E. 2; 2C_599/2007 vom 5. Dezember 2007 E. 2.2; je mit Hinweisen). Im vorliegenden Fall hat die Vorinstanz die Akteneinsicht mit einer Doppelbegründung abgelehnt. Sie erwägt zunächst, es bestehe die Gefahr der Kollusion mit dem in Serbien noch zu befragenden Zeugen; bei diesem könne es sich um eines der wichtigsten Beweismittel handeln (angefochtener Entscheid S. 6 ff. E. 2-3.2). Sie führt sodann aus, der Beschwerdeführer sei flüchtig. Nach der Rechtsprechung ( BGE 113 Ia 214 ) könne einem flüchtigen Angeschuldigten zumindest in der Anfangsphase der Untersuchung die Akteneinsicht verweigert werden. Bei der Frage, ob sich die Untersuchung in der Anfangsphase befinde, komme es nicht auf deren Dauer an, sondern auf deren Fortschritt. Die Verfahrensdauer stehe der Verweigerung der Akteneinsicht deshalb nicht entgegen (angefochtener Entscheid S. 8 ff. E. 3.3 f.). Es ist somit davon auszugehen, dass der Beschwerdeführer, wenn der Zeuge befragt sein wird und die Behörden des Beschwerdeführers überhaupt habhaft werden, Akteneinsicht erhalten wird. Weshalb mit dieser späteren Akteneinsicht ein allfälliger Nachteil, der dem Beschwerdeführer mit der jetzigen Verweigerung entsteht, nicht wieder gutgemacht werden können soll, ist nicht ohne Weiteres ersichtlich. Der Beschwerdeführer hätte dies daher nachvollziehbar darlegen müssen ( BGE 136 IV 92 E. 4 S. 95 mit Hinweisen). Dies tut er nicht. Wie er ausführt, haben seine Nachforschungen in Serbien ergeben, dass dort kein Verfahren gegen ihn hängig ist, was darauf schliessen lasse, dass die kantonale Strafverfolgungsbehörde das Beschleunigungsgebot - nunmehr im Zusammenhang mit dem Ersuchen um Übernahme der Strafverfolgung vom 7. Juli 2010 - erneut verletzt habe. Der Beschwerdeführer konnte somit auch ohne Akteneinsicht eine Verletzung des Beschleunigungsgebots rügen (dazu unten E. 3). Auf die Beschwerde kann daher im vorliegenden Punkt nicht eingetreten werden.</w:t>
      </w:r>
    </w:p>
    <w:p>
      <w:r>
        <w:rPr>
          <w:b/>
        </w:rPr>
        <w:t>E. 2.3</w:t>
      </w:r>
    </w:p>
    <w:p>
      <w:r>
        <w:t>Verhielte es sich anders, würde das dem Beschwerdeführer im Übrigen nicht helfen. Es ist nicht zu beanstanden, wenn die Vorinstanz die Gefahr der Kollusion mit dem in Serbien lebenden Zeugen annimmt. Bei diesem dürfte es sich um eines der wichtigsten Beweismittel handeln. Überdies geht es um eine vorsätzliche Tötung, gegebenenfalls Mord, und damit um ein schweres Verbrechen. Bei einem solchen besteht ein erhöhtes öffentliches Interesse an der Verhinderung von Kollusionshandlungen. Das Rechtshilfeersuchen vom 7. Juli 2010, in das der Beschwerdeführer Einsicht verlangt, enthält aber sensible Informationen in Bezug auf den Zeugen. Wenn die Vorinstanz die Akteneinsicht abgelehnt hat, verletzt das daher kein Bundesrecht. Gemäss Art. 101 Abs. 1 StPO hat die Partei vor der Erhebung der wichtigsten Beweise durch die Staatsanwaltschaft keinen Anspruch auf Akteneinsicht. Die Staatsanwaltschaft gewährt insoweit Akteneinsicht nach pflichtgemässem Ermessen. Besteht Kollusionsgefahr, darf sie die Akteneinsicht verweigern (vgl. FELIX BOMMER, Parteirechte der beschuldigten Person bei Beweiserhebungen in der Untersuchung, recht 2010 S. 206 f.; MARKUS SCHMUTZ, in: Basler Kommentar zur Schweizerischen Strafprozessordnung, 2011, N. 18 zu Art. 101 StPO ). Ob die Alternativbegründung der Vorinstanz ebenfalls bundesrechtmässig sei, kann offen bleiben.</w:t>
      </w:r>
    </w:p>
    <w:p>
      <w:r>
        <w:rPr>
          <w:b/>
        </w:rPr>
        <w:t>E. 3.1</w:t>
      </w:r>
    </w:p>
    <w:p>
      <w:r>
        <w:t>Der Beschwerdeführer rügt (Beschwerde S. 11 ff. lit. B) eine Verletzung des Beschleunigungsgebots gemäss Art. 5 StPO , Art. 29 Abs. 1 BV , Art. 6 Ziff. 1 EMRK und Art. 14 Ziff. 3 lit. c UNO-Pakt II .</w:t>
      </w:r>
    </w:p>
    <w:p>
      <w:r>
        <w:rPr>
          <w:b/>
        </w:rPr>
        <w:t>E. 3.2</w:t>
      </w:r>
    </w:p>
    <w:p>
      <w:r>
        <w:t>Nach der Rechtsprechung muss insoweit das Erfordernis des nicht wieder gutzumachenden Nachteils gemäss Art. 93 Abs. 1 lit. a BGG nicht erfüllt sein ( BGE 134 IV 43 E. 2.2 ff.; Urteil 1B_155/2008 vom 13. November 2008 E. 1; je mit Hinweisen). Auf die Beschwerde ist im vorliegenden Punkt somit einzutreten.</w:t>
      </w:r>
    </w:p>
    <w:p>
      <w:r>
        <w:rPr>
          <w:b/>
        </w:rPr>
        <w:t>E. 3.3</w:t>
      </w:r>
    </w:p>
    <w:p>
      <w:r>
        <w:t>Der Beschwerdeführer hat eine Verletzung des Beschleunigungsgebots bereits vor der Vorinstanz ausdrücklich geltend gemacht (vorinstanzliche Akten 2 S. 6 f. Ziff. 7.1 f.). Dazu hat die Vorinstanz im angefochtenen Entscheid nicht Stellung genommen. Wie der Beschwerdeführer (Beschwerde S. 12 Ziff. 16) zutreffend vorbringt, liegt darin eine Verletzung der Begründungspflicht. Der Grundsatz des rechtlichen Gehörs ( Art. 29 Abs. 2 BV )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136 I 229 E. 5.2 S. 236 ; 134 I 83 E. 4.1 S. 88 ; 133 I 270 E. 3.1 S. 277; je mit Hinweisen). Die Vorinstanz hätte sich somit - wenn auch gegebenenfalls nur kurz - zur Rüge der Verletzung des Beschleunigungsgebots äussern müssen. Es ist nicht Sache des Bundesgerichts, dies als erste Instanz zu tun. Wie das Bundesgericht im Urteil vom 19. November 2010 erwogen hat, müssen sich - da seit der Tat lange Zeit verstrichen ist und in Berücksichtigung der von ihm festgestellten Verletzung des Beschleunigungsgebots - die schweizerischen Behörden umso nachdrücklicher um eine zeitgerechte Antwort der serbischen Behörden auf das Rechtshilfeersuchen vom 7. Juli 2010 bemühen (E. 3.7). Dazu, ob sich die schweizerischen Behörden an diese Vorgabe gehalten haben, wird sich die Vorinstanz auch äussern können, ohne dass sie sensible Informationen preisgibt, die Kollusionshandlungen des Beschwerdeführers begünstigen könnten.</w:t>
      </w:r>
    </w:p>
    <w:p>
      <w:r>
        <w:rPr>
          <w:b/>
        </w:rPr>
        <w:t>E. 3.4</w:t>
      </w:r>
    </w:p>
    <w:p>
      <w:r>
        <w:t>Die Sache ist somit in teilweiser Gutheissung der Beschwerde an die Vorinstanz zurückzuweisen, damit sie sich zur Rüge der Verletzung des Beschleunigungsgebots äussere.</w:t>
      </w:r>
    </w:p>
    <w:p>
      <w:r>
        <w:rPr>
          <w:b/>
        </w:rPr>
        <w:t>E. 4</w:t>
      </w:r>
    </w:p>
    <w:p>
      <w:r>
        <w:t>Die Vorinstanz kann bei der Neubeurteilung zu einem abweichenden Entscheid kommen, was sich bei ihrer Kostenverlegung auswirkte. Es erübrigt sich deshalb von vornherein, zu den Vorbringen des Beschwerdeführers betreffend die Kostenregelung im angefochtenen Entscheid (Beschwerde S. 15 ff. lit. c) einzugehen und es kann dahingestellt bleiben, ob insoweit auf die Beschwerde überhaupt hätte eingetreten werden können.</w:t>
      </w:r>
    </w:p>
    <w:p>
      <w:r>
        <w:rPr>
          <w:b/>
        </w:rPr>
        <w:t>E. 5</w:t>
      </w:r>
    </w:p>
    <w:p>
      <w:r>
        <w:t>Soweit der Beschwerdeführer unterliegt, war die Beschwerde aussichtslos. Das Gesuch um unentgeltliche Rechtspflege und Verbeiständung nach Art. 64 BGG kann daher insoweit nicht bewilligt werden. Der Beschwerdeführer trägt deshalb eine reduzierte Gerichtsgebühr ( Art. 66 Abs. 1 Satz 1 BGG ). Soweit der Beschwerdeführer obsiegt, trägt er keine Kosten und hat ihm der Kanton eine Entschädigung zu bezahlen ( Art. 68 Abs. 1 und 2 BGG ). Das Gesuch um unentgeltliche Rechtspflege und Verbeiständung ist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