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1B_325/2014 vom 16. Oktober 2014</w:t>
      </w:r>
    </w:p>
    <w:p>
      <w:r>
        <w:t>Bundesgericht, 2014-10-16, DE</w:t>
      </w:r>
    </w:p>
    <w:p>
      <w:r>
        <w:rPr>
          <w:b/>
        </w:rPr>
        <w:t xml:space="preserve">Quelle: </w:t>
      </w:r>
      <w:r>
        <w:t>https://mcp.opencaselaw.ch/entscheid/bger_1B_325_2014</w:t>
      </w:r>
    </w:p>
    <w:p>
      <w:r>
        <w:t>FR: TF 1B_325/2014 du 16 octobre 2014</w:t>
      </w:r>
    </w:p>
    <w:p>
      <w:r>
        <w:t>IT: TF 1B_325/2014 del 16 ottobre 2014</w:t>
      </w:r>
    </w:p>
    <w:p>
      <w:pPr>
        <w:pStyle w:val="Heading2"/>
      </w:pPr>
      <w:r>
        <w:t>Erwägungen</w:t>
      </w:r>
    </w:p>
    <w:p>
      <w:r>
        <w:rPr>
          <w:b/>
        </w:rPr>
        <w:t>E. 1</w:t>
      </w:r>
    </w:p>
    <w:p>
      <w:r>
        <w:t>Die Sachurteilsvoraussetzungen von Art. 78 ff. BGG sind erfüllt und geben zu keinen Bemerkungen Anlass.</w:t>
      </w:r>
    </w:p>
    <w:p>
      <w:r>
        <w:rPr>
          <w:b/>
        </w:rPr>
        <w:t>E. 2</w:t>
      </w:r>
    </w:p>
    <w:p>
      <w:r>
        <w:t>Der Beschwerdeführer bestreitet den besonderen Haftgrund der Fluchtgefahr. Folge man der Argumentation der Vorinstanz, bestünde bei jedem Ausländer, dem eine Freiheitsstrafe droht, automatisch ein Haftgrund. Die Vorinstanz nenne keine konkreten Anhaltspunkte, welche für die Wahrscheinlichkeit einer Flucht sprechen würden. Er habe nicht mit einer mehrjährigen Freiheitsstrafe zu rechnen. Zum Vorwurf der Geldwäscherei sei er bisher nicht befragt worden; diesbezüglich lägen auch keine Beweismittel oder Indizien gegen ihn vor. Sein Lebensmittelpunkt befinde sich in der Schweiz, wo er seit ca. 40 Jahren wohne. Auch seine Angehörigen (Sohn und Enkeltochter, Ex-Frau und aktuelle Lebenspartnerin) befänden sich hier. Entgegen der Ansicht des Obergerichtes könnten (im Falle einer Flucht) blosse Kontakte über moderne Kommunikationsmittel den persönlichen Verkehr mit seiner Familie nicht ersetzen. Zu seinen Verwandten und Bekannten in Deutschland pflege er bei weitem keine derart engen Beziehungen wie zu den Angehörigen in der Schweiz, wo er auch eine AHV-Rente beziehe. Ausser seiner Staatsangehörigkeit habe er zu seinem Heimatland Deutschland keine Verbindungen mehr. Ausserdem sei er schon 67 Jahre alt und gesundheitlich angeschlagen. Mangels Fluchtgefahr sei er unverzüglich aus der Haft zu entlassen. Im Eventualstandpunkt macht der Beschwerdeführer geltend, mit den vom Zwangsmassnahmengericht ins Auge gefassten Ersatzmassnahmen für Untersuchungshaft (Hinterlegung einer Sicherheitsleistung von Fr. 50'000.--, Ausweis- und Schriftensperre sowie Auflage, sich regelmässig bei der Polizei zu melden) lasse sich eine etwaige Fluchtgefahr jedenfalls hinreichend bannen. Zwar gehe die Vorinstanz zu Recht davon aus, dass er nicht in der Lage sei, die Kaution selber zu bezahlen. Dennoch würde ihn ein Verfallen der Sicherheitsleistung (nach einer Flucht) hart treffen, da er seine Familie dadurch in gravierende finanzielle Schwierigkeiten bringen würde. Der Beschwerdeführer rügt eine Verletzung von Art. 221 Abs. 1 lit. a und Art. 237 StPO .</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Dem Beschwerdeführer werden qualifizierte Betäubungsmitteldelikte ( Art. 19 Abs. 2 BetmG sowie Geldwäscherei, Art. 305bis Ziff. 1 i.V.m. Art. 49 Abs. 1 StGB ) vorgeworfen, indem er seit Jahren einen umfangreichen Drogenhandel betrieben habe. Er bestreitet den dringenden Tatverdacht von qualifizierten Drogendelikten nicht. Erschwerend kommt (nach den Erwägungen der Vorinstanz) bei ihm ein "beträchtliches Vorstrafenregister" hinzu. Der Beschwerdeführer befindet sich seit einem Jahr und einem Monat in Untersuchungshaft. Die ihm (im Falle einer Anklageerhebung und strafrechtlichen Verurteilung) drohende mehrjährige Freiheitsstrafe ist als gewichtiges Fluchtindiz einzustufen. Dass bei einer freiheitsentziehenden Sanktion von 2-3 Jahren Dauer ein allfälliger teilbedingter Vollzug noch (knapp) möglich wäre ( Art. 43 Abs. 1 StGB ), lässt weder die Fluchtgefahr dahinfallen, noch die erstandene Haft als unverhältnismässig (im Sinne von Art. 212 Abs. 3 StPO ) erscheinen (vgl. BGE 133 I 270 E. 3.4.2 S. 281 f. ; 125 I 60 E. 3d S. 64 ; 124 I 208 E. 6 S. 215; Urteil 1B_61/2014 vom 21. Februar 2014 E. 3.4; Marc Forster, in: Basler Kommentar StPO, Basel 2011, Art. 227 N. 9; Niklaus Schmid, Handbuch des schweizerischen Strafprozessrechts, 2. Aufl., Zürich 2013, N. 1012). Auch bei Anrechnung der bisher erstandenen Untersuchungshaft (von ca. 13 Monaten) begründet der dem Beschwerdeführer drohende (Rest-) Strafvollzug noch einen erheblichen Fluchtanreiz (vgl. Urteil des Bundesgerichtes 1B_61/2014 E. 3.4).</w:t>
      </w:r>
    </w:p>
    <w:p>
      <w:r>
        <w:rPr>
          <w:b/>
        </w:rPr>
        <w:t>E. 3.4</w:t>
      </w:r>
    </w:p>
    <w:p>
      <w:r>
        <w:t>Zudem bestreitet der Beschwerdeführer nicht, dass er Deutscher Staatsangehöriger ist, dass er Verwandte und Bekannte hat, die im Ausland wohnen, dass er geschäftlich häufig im Ausland zu tun hatte und dass seine aktuelle Lebenspartnerin längere Zeit in Spanien, in Deutschland und in der Slowakei gelebt hat. Zwar macht er geltend, sein erwachsener Sohn wohne mit Schwiegertochter und Enkelkind (ebenso wie seine Ex-Frau) in der Schweiz, wo er selber auch lange Zeit gearbeitet habe. Für seine hier lebenden Angehörigen wäre es jedoch nicht schwierig, ihn zum Beispiel im nahe gelegenen süddeutschen Grenzgebiet zu besuchen. Damit droht ihm im Falle einer Ausreise nach Deutschland kein massiver Verlust seiner familiären Kontakte. Inwiefern er wegen einer Wohnsitznahme im Ausland seiner AHV-Rente verlustig gehen könnte, ist nicht ersichtlich und erläutert er auch nicht. Bei dieser Sachlage bestehen hier (im Lichte der dargelegten Praxis) ausreichend konkrete Anhaltspunkte für Fluchtgefahr.</w:t>
      </w:r>
    </w:p>
    <w:p>
      <w:r>
        <w:rPr>
          <w:b/>
        </w:rPr>
        <w:t>E. 3.5</w:t>
      </w:r>
    </w:p>
    <w:p>
      <w:r>
        <w:t>Zwar können mildere Ersatzmassnahmen für Haft (nach Art. 237 f. StPO) geeignet sein, einer gewissen (niederschwelligen) Fluchtneigung ausreichend Rechnung zu tragen. Bei ausgeprägter Fluchtgefahr erweisen sie sich nach der einschlägigen Praxis des Bundesgerichtes jedoch regelmässig als nicht ausreichend (vgl. Urteile 1B_61/2014 vom 21. Februar 2014 E. 3.4-3.5; 1B_181/2013 vom 4. Juni 2013 E. 3.2.2; 1B_148/2013 vom 2. Mai 2013 E. 5.1-5.3; 1B_217/2011 vom 7. Juni 2011 E. 5.3). Die Vorinstanz erwägt, nach den Angaben des Beschwerdeführers (und den bisherigen Untersuchungsergebnissen) zu seiner finanziellen Situation erscheine es wenig plausibel, dass er eine Sicherheitsleistung selber aufbringen würde. Ein allfälliger Verfall der von dritten Personen gestellten Kaution würde ihn "nicht so hart treffen" bzw. die dargelegte Fluchtneigung nicht wesentlich reduzieren. Der Beschwerdeführer räumt ein, dass er eine Kaution nicht selber leisten könnte. Er sei finanziell bedürftig und auch nicht in der Lage, die Kosten des Beschwerdeverfahrens vor Bundesgericht selber zu tragen. Eine Haftentlassung gegen Kaution kommt nur in Frage, wenn die Sicherheitsleistung tatsächlich geeignet ist, den Beschuldigten von einer Flucht abzuhalten (vgl. Matthias Härri, in: Basler Kommentar StPO, Basel 2011, Art. 238 N. 4). Bei mittellosen Beschuldigten kommt eine Haftkaution als wirksame Ersatzmassnahme grundsätzlich nicht in Frage (vgl. Urteile des Bundesgerichtes 1B_61/2014 E. 3.5; 1B_148/2013 E. 5.3). Auch eine Pass- und Schriftensperre erscheint bei einer drohenden Ausreise in den Schengenraum (ohne konsequente Personenkontrolle an der Grenze) nur sehr beschränkt tauglich. Ebenso wenig ist ersichtlich, wie eine Verpflichtung, sich wöchentlich auf einem Polizeiposten zu melden, den Beschwerdeführer an einer Ausreise ins benachbarte Ausland (oder an einem Untertauchen in der Schweiz) wirksam hindern könnte.</w:t>
      </w:r>
    </w:p>
    <w:p>
      <w:r>
        <w:rPr>
          <w:b/>
        </w:rPr>
        <w:t>E. 3.6</w:t>
      </w:r>
    </w:p>
    <w:p>
      <w:r>
        <w:t>Die Ansicht des Obergerichtes und der Staatsanwaltschaft, die genannten Ersatzmassnahmen reichten im jetzigen Verfahrensstadium nicht aus, um der dargelegten Fluchtgefahr ausreichend zu begegnen, hält in Würdigung sämtlicher aktueller Umstände vor dem Bundesrecht stand.</w:t>
      </w:r>
    </w:p>
    <w:p>
      <w:r>
        <w:rPr>
          <w:b/>
        </w:rPr>
        <w:t>E. 4</w:t>
      </w:r>
    </w:p>
    <w:p>
      <w:r>
        <w:t>Die Beschwerde ist als unbegründet abzuweisen.</w:t>
      </w:r>
    </w:p>
    <w:p>
      <w:r>
        <w:t>Der Beschwerdeführer stellt ein Gesuch um unentgeltliche Rechtspflege. Da die finanzielle Bedürftigkeit des (amtlich verteidigten und seit über einem Jahr in Haft befindlichen) Gesuchstellers ausreichend glaubhaft gemacht wird und die Beschwerde nicht als zum Vornherein aussichtslos erscheint,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