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1B_322/2019 vom 17. Juli 2019</w:t>
      </w:r>
    </w:p>
    <w:p>
      <w:r>
        <w:t>Bundesgericht, 2019-07-17, FR</w:t>
      </w:r>
    </w:p>
    <w:p>
      <w:r>
        <w:rPr>
          <w:b/>
        </w:rPr>
        <w:t xml:space="preserve">Quelle: </w:t>
      </w:r>
      <w:r>
        <w:t>https://mcp.opencaselaw.ch/entscheid/bger_1B_322_2019</w:t>
      </w:r>
    </w:p>
    <w:p>
      <w:r>
        <w:t>FR: TF 1B_322/2019 du 17 juillet 2019</w:t>
      </w:r>
    </w:p>
    <w:p>
      <w:r>
        <w:t>IT: TF 1B_322/2019 del 17 luglio 2019</w:t>
      </w:r>
    </w:p>
    <w:p>
      <w:pPr>
        <w:pStyle w:val="Heading2"/>
      </w:pPr>
      <w:r>
        <w:t>Erwägungen</w:t>
      </w:r>
    </w:p>
    <w:p>
      <w:r>
        <w:rPr>
          <w:b/>
        </w:rPr>
        <w:t>E. 1</w:t>
      </w:r>
    </w:p>
    <w:p>
      <w:r>
        <w:t>Selon l' art. 78 LTF , le recours en matière pénale est ouvert contre les décisions rendues en dernière instance cantonale relatives à la détention provisoire ou pour des motifs de sûreté au sens des art. 212 ss CPP ( ATF 137 IV 22 consid. 1 p. 23), ce qui exclut le recours constitutionnel subsidiaire ( art. 113 LTF a contrario).</w:t>
      </w:r>
    </w:p>
    <w:p>
      <w:r>
        <w:t>Si le maintien en détention repose actuellement sur l'ordonnance du 24 juin 2019 du Tmc, le recourant, prévenu détenu, conserve un intérêt juridique à la vérification de la décision attaquée qui confirme la prolongation de sa détention provisoire (art. 81 al. 1 let. a et b ch. 1 LTF; arrêt 1B_184/2019 du 9 mai 2019 consid. 1). Pour le surplus, le recours a été formé en temps utile ( art. 100 al. 1 LTF ) et les conclusions prises sont recevables au regard de l' art. 107 al. 2 LTF . Partant, il y a lieu d'entrer en matière.</w:t>
      </w:r>
    </w:p>
    <w:p>
      <w:r>
        <w:rPr>
          <w:b/>
        </w:rPr>
        <w:t>E. 2</w:t>
      </w:r>
    </w:p>
    <w:p>
      <w:r>
        <w:t>Dans son mémoire de recours du 26 juin 2019, le recourant ne développe aucune argumentation tendant à contester l'existence de charges suffisantes pesant à son encontre ( art. 221 al. 1 CPP ), à savoir en particulier d'avoir obtenu des fonds - notamment en vue d'un achat en l'état non démontré de montres pour un montant dont il ne disposait a priori pas - avec la promesse de rendements exorbitants, ainsi que d'avoir remboursé, dans un premier temps, certains investisseurs en capital et intérêts, afin en substance que ces derniers remettent des sommes "en jeu" (système de "cavalerie" [cf. consid. 2.2 p. 9 de l'arrêt attaqué]).</w:t>
      </w:r>
    </w:p>
    <w:p>
      <w:r>
        <w:t>A la suite des observations déposées par le Ministère public au cours de la procédure fédérale, le recourant soutient, pour la première fois dans ses déterminations du 12 juillet 2019, que les charges pesant à son encontre seraient insuffisantes. Il n'explique cependant pas pourquoi ses arguments à ce propos n'ont pas pu être invoqués précédemment, soit dans son acte de recours. Il n'expose pas non plus pourquoi cette question ne se serait pas posée antérieurement et découlerait donc uniquement des déterminations du Ministère public. Le recourant ne saurait donc se prévaloir des écritures du Ministère public pour pouvoir compléter - hors délai - son mémoire de recours. Partant, invoqués uniquement le 12 juillet 2019, les arguments tendant à contester l'existence de charges suffisantes sont tardifs ( art. 100 al. 1 LTF ; ATF 143 II 283 consid. 1.2.3 p. 286) et, partant, irrecevables.</w:t>
      </w:r>
    </w:p>
    <w:p>
      <w:r>
        <w:t>En tout état de cause, le recourant ne se prononce pas sur le montant des rendements promis à ses investisseurs - pour le moins conséquent -, ainsi que sur le procédé relevé ci-dessus pour obtenir les fonds ("cavalerie"), ce qui suffit en l'état pour retenir l'existence de charges suffisantes.</w:t>
      </w:r>
    </w:p>
    <w:p>
      <w:r>
        <w:rPr>
          <w:b/>
        </w:rPr>
        <w:t>E. 3</w:t>
      </w:r>
    </w:p>
    <w:p>
      <w:r>
        <w:t>Le recourant reproche ensuite à l'autorité précédente d'avoir considéré qu'il existerait un risque de fuite, respectivement que celui-ci ne pourrait pas être pallié par des mesures de substitution.</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166 s.).</w:t>
      </w:r>
    </w:p>
    <w:p>
      <w:r>
        <w:rPr>
          <w:b/>
        </w:rPr>
        <w:t>E. 3.2</w:t>
      </w:r>
    </w:p>
    <w:p>
      <w:r>
        <w:t>En l'occurrence, pour retenir l'existence d'un danger de fuite, la cour cantonale s'est tout d'abord référée à sa décision du 28 mars 2019. Il ressort de celle-ci qu'aux dires du recourant - ressortissant saoudien et dont l'épouse américaine vivait aux États-Unis -, il ne serait plus domicilié en Suisse, situation qui pouvait au demeurant engendrer le retrait de son permis C si tel était le cas depuis plus d'une année; cela étant, même à supposer un domicile en Suisse (cf. ses dépenses essentiellement effectuées dans la région de Vésenaz et non en France voisine), il était fortement à craindre que le recourant disparaisse dans la clandestinité afin d'échapper aux poursuites pénales, ainsi qu'à ses créanciers, ayant reconnu être dans l'impossibilité de les rembourser et ayant prétendu avoir été menacé par les parties plaignantes; l'engagement de D.________ de l'accueillir, dans sa chambre, n'apparaissait pas fiable au vu des diverses déclarations contradictoires qu'elle avait faites et de son unique souhait de le voir sortir de prison; enfin, la présente situation n'était pas comparable à celle qui existait à l'époque de sa mise en prévention dans la procédure P_2011, le recourant étant alors, officiellement et de fait, domicilié en Suisse (cf. consid. 3.2 p. 9 de l'arrêt du 28 mars 2019 et consid. 3.2 p. 9 de l'arrêt attaqué).</w:t>
      </w:r>
    </w:p>
    <w:p>
      <w:r>
        <w:t>Ces premiers éléments ne prêtent pas le flanc à la critique. C'est le lieu tout d'abord de rappeler qu'il est admissible pour une autorité judiciaire de renvoyer, à titre de motivation, à de précédentes décisions ( ATF 123 I 31 consid. 2c p. 34; arrêt 1B_420/2018 du 8 octobre 2018 consid. 2.2). S'agissant d'un domicile en Suisse - stable et connu, notamment des autorités pénales, voire administratives -, il apparaît que cette question n'est de loin pas réglée, puisque les déclarations du recourant à ce propos sont toujours peu claires; ainsi, dans son mémoire au Tribunal fédéral, il affirme non seulement avoir été établi depuis 30 ans à Genève (cf. ad 3/b p. 10 de son recours), tout en relevant vivre depuis 2018 en France (cf. ad 2/b p. 7 de son mémoire), voire avoir vécu "alternativement entre la France et la Suisse" (cf. ad II p. 3 de ses observations du 12 juillet 2019). Il n'était ainsi pas arbitraire de retenir que sa situation actuelle n'était pas comparable à celle qui prévalait lors de l'ouverture de la procédure P_2011 où son domicile était clairement établi (cf. les ordonnances d'ouverture d'instruction du 18 janvier 2012 [contre inconnu] et du 16 mai 2012 [notamment contre A.________]); la présente situation est d'autant moins comparable avec celle qui prévalait antérieurement que les charges pesant à l'encontre du recourant, respectivement les possibles conséquences pouvant en découler, se sont manifestement aggravées avec l'ouverture de la seconde cause. Peu importe dès lors que le recourant se soit précédemment peut-être présenté aux convocations judiciaires et que les montants en cause dans cette première procédure puissent être plus importants que ceux faisant l'objet de la seconde cause; cette circonstance est d'ailleurs d'autant moins pertinente que le recourant relève l'intention du Ministère public de joindre ces deux procédures (cf. ad 2/b p. 7 de son recours). Ces mêmes considérations - dans la mesure où ce grief ne serait pas tardif, ayant à nouveau été soulevé uniquement dans les déterminations du 12 juillet 2019 (cf. ad IV p. 3 s.) - permettent d'écarter toute violation du principe de proportionnalité à cet égard.</w:t>
      </w:r>
    </w:p>
    <w:p>
      <w:r>
        <w:t>De manière conforme à ses obligations - ce qui exclut toute violation du droit d'être entendu par le renvoi opéré à une précédente décision (cf. ad 4/c p. 13 du recours) -, la juridiction précédente a ensuite examiné si le recourant faisait valoir des éléments nouveaux qui permettraient, le cas échéant, de considérer que le danger de fuite retenu aurait diminué; elle a cependant considéré que tel n'était pas le cas. Elle a en particulier estimé, à juste titre, qu'un passage dans la clandestinité n'empêchait pas la réception de transferts d'argent - peu importe d'ailleurs leur montant et leur but - de la part de l'épouse du recourant et que ses transactions à Montreux ou à Crans-Montana ne semblaient, à la lecture des déclarations de C.________, que des espoirs perdus (cf. consid. 3.2 p. 9 s. de l'arrêt attaqué). Si le recourant semble contester l'appréciation effectuée des déclarations tenues par le précité, il ne développe toutefois aucune argumentation afin de démontrer que les opérations envisagées seraient encore d'actualité; il n'explique pas non plus quelles seraient ses autres affaires en cours. En tout état de cause et à suivre ses propos sur un éventuel domicile français, le défaut de document d'identité - soit notamment de son passeport saoudien - ne paraît pas l'avoir empêché de séjourner, a priori de plus dans la clandestinité, en France voisine. Enfin, il ne peut être ignoré que le recourant a affirmé avoir des contacts à l'étranger (cf. ad 3/b p. 11 du recours).</w:t>
      </w:r>
    </w:p>
    <w:p>
      <w:r>
        <w:t>Partant, faute en l'état de domicile stable en Suisse, de perspectives professionnelles concrètes et d'autres attaches affectives que son fils majeur en Suisse - dans la mesure où celle-ci serait avérée -, la Chambre pénale de recours pouvait retenir, sans violer le droit fédéral, l'existence d'un risque de fuite.</w:t>
      </w:r>
    </w:p>
    <w:p>
      <w:r>
        <w:rPr>
          <w:b/>
        </w:rPr>
        <w:t>E. 3.3</w:t>
      </w:r>
    </w:p>
    <w:p>
      <w:r>
        <w:t>Dès lors que le maintien en détention est justifié par un danger de fuite, il n'y a pas lieu d'examiner si cette mesure s'impose également eu égard aux risques de récidive ou de collusion.</w:t>
      </w:r>
    </w:p>
    <w:p>
      <w:r>
        <w:t>Une telle analyse ne s'impose en principe pas non plus à l'autorité de recours lorsqu'elle a retenu l'existence de l'un des risques - alternatifs - prévus à l' art. 221 al. 1 CPP (arrêts 1B_149/2015 du 13 mai 2015 consid. 2.6; 1B_728/2011 du 13 janvier 2012 consid. 2.7), ce qui permet d'exclure toute violation du principe de proportionnalité à cet égard (cf. ad 3 p. 8 et ad 4/c p. 13 du recours). Cela vaut d'autant plus que, contrairement à ce que semble sous-entendre le recourant, on ne saurait déduire de ce défaut d'examen que la cour cantonale confirmerait le raisonnement tenu à ce propos par le Tmc.</w:t>
      </w:r>
    </w:p>
    <w:p>
      <w:r>
        <w:rPr>
          <w:b/>
        </w:rPr>
        <w:t>E. 3.4</w:t>
      </w:r>
    </w:p>
    <w:p>
      <w:r>
        <w:t>S'agissant d'éventuelles mesures de substitution (cf. art. 237 CPP ), la cour cantonale a constaté - par renvoi à son arrêt du 28 mars 2019 (cf. consid. 5 p. 9 de ce prononcé et consid. 5 p. 10 du jugement entrepris) - que celles proposées ne permettaient pas de réduire de manière suffisante le risque de fuite existant, se référant, à titre de motivation aux considérations émises en lien avec le danger de fuite retenu.</w:t>
      </w:r>
    </w:p>
    <w:p>
      <w:r>
        <w:t>Ce raisonnement peut être confirmé. En effet, le dépôt du permis C n'empêche pas le passage des frontières - notamment avec la France - ou l'entrée dans la clandestinité; il en va de même de l'obligation de se présenter une fois par semaine à un poste de police, qui permet uniquement de constater a posteriori un tel départ (arrêt 1B_177/2019 du 7 mai 2019 consid. 7.2 et les arrêts cités). Quant au revenu dont se prévaut le recourant, il semble être versé a priori uniquement par son épouse américaine; en effet, le recourant ne prétend pas qu'il découlerait d'une activité lucrative, notamment salariée, exercée en Suisse ou que ces transferts ne pourraient pas lui être adressés à l'étranger; partant, on ne voit pas en quoi ce revenu assurerait la présence du recourant en Suisse. Dans ces circonstances et ainsi que l'a retenu l'autorité précédente, la possibilité d'un domicile chez D.________ - dont les déclarations n'ont pas été dénuées de toute contradiction quant à un prétendu précédent séjour du recourant (cf. p. 3 de son audition du 13 février 2019) - ne constitue pas - en particulier à elle seule - une mesure fiable susceptible de garantir que le recourant ne serait pas tenté de se soustraire à la procédure pénale vu les lourdes charges pesant à son encontre.</w:t>
      </w:r>
    </w:p>
    <w:p>
      <w:r>
        <w:rPr>
          <w:b/>
        </w:rPr>
        <w:t>E. 3.5</w:t>
      </w:r>
    </w:p>
    <w:p>
      <w:r>
        <w:t>Partant, vu le risque de fuite existant et l'absence de mesures de substitution propres à le réduire, la cour cantonale pouvait confirmer, sans violer le droit fédéral, la prolongation de la détention provisoire ordonnée à l'encontre du recourant.</w:t>
      </w:r>
    </w:p>
    <w:p>
      <w:r>
        <w:t>Cette conclusion s'impose d'autant plus qu'eu égard en particulier aux considérations émises ci-dessus (cf. consid. 3.2 et 3.4), on ne voit pas quels arguments - autres que ceux notamment en lien avec le domicile, l'existence de la première procédure pénale, la détention d'un permis C et le revenu touché (cf. ad 4/c p. 13 du recours) - auraient été arbitrairement omis par l'autorité précédente lors de son appréciation du risque de fuite et des mesures de substitution, que ceux-ci aient été allégués en lien avec les dangers - non examinés - de collusion et de réitération, voire sur un plan général. Une décision n'est en effet pas arbitraire du seul fait que l'appréciation des éléments invoqués ne correspond pas au résultat espéré par l'intéressé (sur la notion d'arbitraire, voir ATF 143 IV 500 consid. 1.1 p. 503).</w:t>
      </w:r>
    </w:p>
    <w:p>
      <w:r>
        <w:rPr>
          <w:b/>
        </w:rPr>
        <w:t>E. 4</w:t>
      </w:r>
    </w:p>
    <w:p>
      <w:r>
        <w:t>Il s'ensuit que le recours constitutionnel subsidiaire est irrecevable. Quant au recours en matière pénale, il est rejeté dans la mesure où il est recevable.</w:t>
      </w:r>
    </w:p>
    <w:p>
      <w:r>
        <w:t>Le recourant a demandé l'octroi de l'assistance judiciaire ( art. 64 al. 1 LTF ). Son recours n'était pas d'emblée dénué de chances de succès et cette requête doit être admise. Il y a donc lieu de désigner Me Hervé Crausaz en tant qu'avocat d'office du recourant et de lui allouer une indemnité à titre d'honoraires, qui seront supportés par la caisse du Tribunal fédéral. Il n'est pas perçu de frais judiciaires ( art. 64 al. 1 LTF ) 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