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320/2021 vom 12. August 2021</w:t>
      </w:r>
    </w:p>
    <w:p>
      <w:r>
        <w:t>Bundesgericht, 2021-08-12, FR</w:t>
      </w:r>
    </w:p>
    <w:p>
      <w:r>
        <w:rPr>
          <w:b/>
        </w:rPr>
        <w:t xml:space="preserve">Quelle: </w:t>
      </w:r>
      <w:r>
        <w:t>https://mcp.opencaselaw.ch/entscheid/bger_1B_320_2021</w:t>
      </w:r>
    </w:p>
    <w:p>
      <w:r>
        <w:t>FR: TF 1B 320/2021 du 12 août 2021</w:t>
      </w:r>
    </w:p>
    <w:p>
      <w:r>
        <w:t>IT: TF 1B 320/2021 del 12 agosto 2021</w:t>
      </w:r>
    </w:p>
    <w:p>
      <w:pPr>
        <w:pStyle w:val="Heading2"/>
      </w:pPr>
      <w:r>
        <w:t>Regeste</w:t>
      </w:r>
    </w:p>
    <w:p>
      <w:r>
        <w:t>Procédure pénale; récusation | Questions de compétences, garantie du juge du domicile et du ...</w:t>
      </w:r>
    </w:p>
    <w:p>
      <w:pPr>
        <w:pStyle w:val="Heading2"/>
      </w:pPr>
      <w:r>
        <w:t>Erwägungen</w:t>
      </w:r>
    </w:p>
    <w:p>
      <w:r>
        <w:rPr>
          <w:b/>
        </w:rPr>
        <w:t>E. 1.1</w:t>
      </w:r>
    </w:p>
    <w:p>
      <w:r>
        <w:t>Le Tribunal fédéral examine d'office sa compétence ( art. 29 al. 1 LTF ) et contrôle librement la recevabilité des recours qui lui sont soumis ( ATF 145 I 239 consid. 2 p. 241).</w:t>
      </w:r>
    </w:p>
    <w:p>
      <w:r>
        <w:rPr>
          <w:b/>
        </w:rPr>
        <w:t>E. 1.2</w:t>
      </w:r>
    </w:p>
    <w:p>
      <w:r>
        <w:t>Seule est portée devant le Tribunal fédéral, la question de l'admission des demandes de récusation formées par les parties plaignantes recourantes.</w:t>
      </w:r>
    </w:p>
    <w:p>
      <w:r>
        <w:rPr>
          <w:b/>
        </w:rPr>
        <w:t>E. 1.3</w:t>
      </w:r>
    </w:p>
    <w:p>
      <w:r>
        <w:t>Conformément aux art. 78 et 92 al. 1 LTF , une décision relative à la récusation d'un magistrat pénal peut faire immédiatement l'objet d'un recours en matière pénale. Indépendamment des conditions posées par l'art. 81 al. 1 let. a et b ch. 5 LTF, les recourants, parties plaignantes, sont habilités à se plaindre d'une violation de leurs droits de partie équivalant à un déni de justice formel, sans toutefois pouvoir faire valoir par ce biais, même indirectement, des moyens qui ne peuvent être séparés du fond ( ATF 141 IV 1 consid. 1.1; arrêt 1B_647/2020 du 20 mai 2021 consid. 1.2). Dans ce cadre, ils peuvent se prévaloir des garanties procédurales en matière d'indépendance et de partialité (arrêts 1B_647/2020 précité, ibidem; 6B_1369/2020 du 11 mars 2021 consid. 4 et 4.2 et les arrêts cités). Tel est en particulier le cas en l'espèce, dans la mesure où ils contestent la décision attaquée en tant qu'elle rejette leurs demandes de récusation concernant le procureur intimé.</w:t>
      </w:r>
    </w:p>
    <w:p>
      <w:r>
        <w:rPr>
          <w:b/>
        </w:rPr>
        <w:t>E. 1.4</w:t>
      </w:r>
    </w:p>
    <w:p>
      <w:r>
        <w:t>En outre, interjeté en temps utile contre une décision prise en dernière instance cantonale, le recours est recevable au regard des art. 80 al. 1 et 100 al. 1 LTF. Les conclusions des recourants tendant principalement à l'admission des demandes de récusation du procureur intimé et au renvoi de la cause pour désignation d'un/e autre procureur/e le sont également au regard de l' art. 107 LTF .</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(cf. ATF 145 V 188 consid. 2; 137 II 353 consid. 5.1). En particulier, le Tribunal fédéral n'entre pas en matière sur des critiques de type appellatoire ( ATF 145 IV 154 consid. 1.1). En l'espèce, les recourants présentent, au début de leur écriture, sur environ huit pages, leur propre exposé des faits. En tant que ces éléments divergent de ceux constatés dans l'arrêt cantonal et qu'ils ne sont pas critiqués sous l'angle de l'arbitraire, il n'en sera pas tenu compte.</w:t>
      </w:r>
    </w:p>
    <w:p>
      <w:r>
        <w:rPr>
          <w:b/>
        </w:rPr>
        <w:t>E. 3</w:t>
      </w:r>
    </w:p>
    <w:p>
      <w:r>
        <w:t>Invoquant l' art. 56 let . f CPP en lien avec les art. 30 al. 1 Cst. et 6 par. 1 CEDH, les recourants estiment que les considérations retenues par le procureur intimé dans son ordonnance de classement à l'encontre du prévenu ainsi que ses nombreux refus d'instruire donneraient objectivement l'apparence d'une prévention et feraient redouter une activité partiale de ce magistrat. Se référant aux art. 97 al. 1 LTF et 9 Cst., ils considèrent en outre que le rejet de leurs demandes de récusation serait arbitraire aussi bien dans son résultat que dans sa motivation.</w:t>
      </w:r>
    </w:p>
    <w:p>
      <w:r>
        <w:rPr>
          <w:b/>
        </w:rPr>
        <w:t>E. 3.1</w:t>
      </w:r>
    </w:p>
    <w:p>
      <w:r>
        <w:t>Un magistrat est récusable pour l'un des motifs prévus aux art. 56 let. a à e CPP. Il l'est également, selon l' art. 56 let .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Cela est en particulier le cas lorsqu'il décide de l'ouverture d'une instruction (qui suppose l'existence de soupçons suffisants au sens de l' art. 309 al. 1 CPP ) ou lorsqu'il ordonne des mesures de contrainte (arrêts 1B_348/2020 du 4 septembre 2020 consid. 3.1; 1B_315/2019 du 24 septembre 2019 consid. 3.1).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w:t>
      </w:r>
    </w:p>
    <w:p>
      <w:r>
        <w:rPr>
          <w:b/>
        </w:rPr>
        <w:t>E. 3.2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D'autre part, la jurisprudence considère que le magistrat appelé à statuer à nouveau après l'annulation d'une de ses décisions est en général à même de tenir compte de l'avis exprimé par l'instance supérieure et de s'adapter aux injonctions qui lui sont faites ( ATF 143 IV 69 consid. 3.1; arrêt 1B_476/2019 du 27 janvier 2020 consid. 3.2.2). 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(arrêts 1B_476/2019 du 27 janvier 2020 consid. 3.2.2; 1B_430/2015 du 5 janvier 2016 consid. 3.2, in SJ 2017 I 49). La jurisprudence exige cependant que l'issue de la seconde cause ne soit pas prédéterminée, mais qu'elle demeure indécise quant à la constatation des faits et à la résolution des questions juridiques ( ATF 134 IV 289 consid. 6.2; arrêt 1B_13/2021 du 1er juillet 2021 consid. 3.3).</w:t>
      </w:r>
    </w:p>
    <w:p>
      <w:r>
        <w:rPr>
          <w:b/>
        </w:rPr>
        <w:t>E. 3.3</w:t>
      </w:r>
    </w:p>
    <w:p>
      <w:r>
        <w:t>Certes, ainsi que l'a retenu la cour cantonale, l'enquête en était au stade de la clôture lorsque le procureur intimé a pris position sur les éléments constitutifs de l'infraction de diffamation, respectivement considéré que cette infraction n'était pas réalisée, C.________ pouvant bénéficier de la preuve libératoire de l' art. 173 ch. 2 CP . Cette seule prise de position n'est pas propre à fonder une demande de récusation. Il en va différemment du ton employé par le magistrat dans son ordonnance de classement. Celui-ci apparaît en effet particulièrement péremptoire dans la mesure où il affirme qu'il " ne fait aucun doute que B.________ a eu un comportement extrêmement peu scrupuleux, n'hésitant pas à mettre en danger la santé de patients, plutôt que de risquer des pertes financières ". Ce faisant, le magistrat a manifesté, dans des termes catégoriques, sa conviction au sujet de la preuve libératoire apportée par le prévenu. Pour parvenir à cette conclusion, il s'est borné à faire une référence générale au dossier de l'enquête de Swissmedic, qui n'est pas encore clôturée, sans entendre les parties sur les questions spécifiques qu'une telle preuve libératoire soulève, respectivement sans s'appuyer sur des passages précis des auditions effectuées dans le cadre de l'instruction dirigée par Swissmedic ni sur des éléments concrets ayant décidé cet institut à ouvrir une enquête (cf. arrêt attaqué p. 19). La prise de position du procureur intimé est d'autant plus problématique en l'espèce, au vu de la décision du Tribunal cantonal de renvoyer le dossier au Ministère public pour qu'il instruise davantage la question de l'éventuelle preuve libératoire dont se prévaut le prévenu. Dans ces circonstances particulières, il apparaît justifié de redouter - au vu des apparences données - une activité partiale du magistrat dans la perspective de cette instruction, ce qui suffit à sceller le sort du recours. Il n'y a ainsi pas lieu d'examiner les autres critiques des recourants soulevées à l'encontre du magistrat intimé.</w:t>
      </w:r>
    </w:p>
    <w:p>
      <w:r>
        <w:rPr>
          <w:b/>
        </w:rPr>
        <w:t>E. 4</w:t>
      </w:r>
    </w:p>
    <w:p>
      <w:r>
        <w:t>Par conséquent, le recours doit être admis. La demande de récusation est également admise et la cause renvoyée à la cour cantonale afin qu'un autre procureur soit désigné pour la suite de la procédure. Conformément à l' art. 68 al. 2 LTF , il y a lieu d'allouer aux recourants une indemnité de dépens, à la charge du canton de Vaud. Le montant est fixé par le Tribunal fédéral en fonction de l'importance et de la difficulté de la cause ainsi que selon le travail effectué (art. 2 al. 1 et 6 du règlement du 31 mars 2006 sur les dépens alloués à la partie adverse et sur l'indemnité pour la représentation d'office dans les causes portées devant le Tribunal fédéral [RS 173.110.210.3]). Les circonstances de l'espèce ne commandent pas de s'écarter du montant habituellement octroyé à ce titre. Il n'est pas perçu de frais judiciaires ( art. 66 al. 4 LTF ). Il appartiendra aussi au Tribunal cantonal de statuer à nouveau sur les frais et indemnités de la procédure cantonale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