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320/2017 vom 18. Oktober 2017</w:t>
      </w:r>
    </w:p>
    <w:p>
      <w:r>
        <w:t>Bundesgericht, 2017-10-18, DE</w:t>
      </w:r>
    </w:p>
    <w:p>
      <w:r>
        <w:rPr>
          <w:b/>
        </w:rPr>
        <w:t xml:space="preserve">Quelle: </w:t>
      </w:r>
      <w:r>
        <w:t>https://mcp.opencaselaw.ch/entscheid/bger_1B_320_2017</w:t>
      </w:r>
    </w:p>
    <w:p>
      <w:r>
        <w:t>FR: TF 1B 320/2017 du 18 octobre 2017</w:t>
      </w:r>
    </w:p>
    <w:p>
      <w:r>
        <w:t>IT: TF 1B 320/2017 del 18 ottobre 2017</w:t>
      </w:r>
    </w:p>
    <w:p>
      <w:pPr>
        <w:pStyle w:val="Heading2"/>
      </w:pPr>
      <w:r>
        <w:t>Regeste</w:t>
      </w:r>
    </w:p>
    <w:p>
      <w:r>
        <w:t>Strafverfahren; Ausstand des Gutachters | Strafprozess</w:t>
      </w:r>
    </w:p>
    <w:p>
      <w:pPr>
        <w:pStyle w:val="Heading2"/>
      </w:pPr>
      <w:r>
        <w:t>Erwägungen</w:t>
      </w:r>
    </w:p>
    <w:p>
      <w:r>
        <w:rPr>
          <w:b/>
        </w:rPr>
        <w:t>E. 1</w:t>
      </w:r>
    </w:p>
    <w:p>
      <w:r>
        <w:t>Angefochten ist ein selbständig eröffneter, kantonal letztinstanzlicher Zwischenentscheid über ein Ausstandsbegehren in einer Strafsache ( Art. 78 Abs. 1, Art. 80 Abs. 1 und Art. 92 BGG ). Der Beschwerdeführer ist zur Beschwerde berechtigt ( Art. 81 Abs. 1 BGG ). Die Ausnahme zum Fristenstillstand ( Art. 46 Abs. 2 BGG ) betrifft die Anordnung und Weiterführung strafprozessualer Haft ( BGE 133 I 270 E. 1.2.1 f. S. 273 f.) und gelangt vorliegend nicht zur Anwendung. Die Beschwerdeschrift wurde daher - entgegen der seitens der Privatklägerschaft vorgebrachten Zweifel - fristgerecht eingereicht. Die weiteren Sachurteilsvoraussetzungen geben zu keinen Bemerkungen Anlass. Auf die Beschwerde ist einzutreten.</w:t>
      </w:r>
    </w:p>
    <w:p>
      <w:r>
        <w:rPr>
          <w:b/>
        </w:rPr>
        <w:t>E. 2</w:t>
      </w:r>
    </w:p>
    <w:p>
      <w:r>
        <w:t>Nach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zugestellt werden ( BGE 137 I 195 E. 2.3.1 S. 197). In Ausstandsverfahren steht das Replikrecht dem Gesuchsteller auch zu sämtlichen Stellungnahmen der Personen zu, deren Ausstand er beantragt hat (vgl. zum Ganzen auch Urteile des Bundesgerichts 1B_272/2016 vom 26. September 2016 E. 2.2.1 und 1B_459/2012 vom 16. November 2012 E. 2.1; je mit Hinweisen).</w:t>
      </w:r>
    </w:p>
    <w:p>
      <w:r>
        <w:rPr>
          <w:b/>
        </w:rPr>
        <w:t>E. 3</w:t>
      </w:r>
    </w:p>
    <w:p>
      <w:r>
        <w:t>Es ist unbestritten, dass dem Beschwerdeführer die Stellungnahme des Gutachters vom 8. Juni 2017 nicht zugestellt wurde. Die Staatsanwaltschaft bringt im Wesentlichen vor, im Ausstandsverfahren bestehe kein Anspruch auf einen Schriftenwechsel, da der Beschwerdeführer bereits im Rahmen des Ausstandsgesuchs eine ausführliche Begründung einreichen müsse; im Übrigen habe dieser - trotz Kenntnis der Eingabe des Gutachters - bei der Staatsanwaltschaft auch kein Begehren um Ausübung des Replikrechts gestellt (vgl. Stellungnahme vom 21. August 2017). Diese Ausführungen stehen nicht in Einklang mit der soeben dargelegten bundesgerichtlichen Rechtsprechung. Im vorliegenden Ausstandsverfahren hätte die Stellungnahme des Gutachters dem Beschwerdeführer auf jeden Fall und ungeachtet dessen, ob er die Ausübung des Replikrechts begehrt hat oder nicht, zugestellt werden müssen. Daran vermag auch das von der Staatsanwaltschaft angerufene Beschleunigungsgebot ( Art. 5 Ziff. 4 EMRK , Art. 31 Abs. 3-4 BV sowie Art. 5 Abs. 2 StPO ) nichts zu ändern. Zwar trifft es zu, dass bei Haftfällen Eile geboten ist. Dass dem Beschwerdeführer die Wahrnehmung des Replikrechts völlig verunmöglicht wird, kann jedoch nicht mit dem Beschleunigungsgebot gerechtfertigt werden. Insoweit erweist sich die Rüge des Beschwerdeführers, sein Replikrecht sei verletzt worden, da er sich zur neu in das Verfahren eingebrachten Eingabe des Gutachters nicht habe äussern können, als begründet. Es ist in diesem Zusammenhang in Erinnerung zu rufen, dass der Partei nach Zustellung der Vernehmlassung eine gewisse Zeit zur Wahrnehmung des Replikrechts zu belassen ist, bevor der Entscheid gefällt wird. Die Ausübung des Replikrechts darf nicht verhindert werden, indem der Entscheid so rasch ergeht, dass eine Stellungnahme trotz Zustellung einer neuen Eingabe nicht mehr rechtzeitig erfolgen kann. Allgemein formuliert darf vor Ablauf von zehn Tagen nicht, hingegen nach 20 Tagen von einem Verzicht auf das Replikrecht ausgegangen werden (vgl. dazu im Einzelnen das bundesgerichtliche Urteil 1B_272/2016 vom 26. September 2016 E. 2.2.2).</w:t>
      </w:r>
    </w:p>
    <w:p>
      <w:r>
        <w:rPr>
          <w:b/>
        </w:rPr>
        <w:t>E. 4</w:t>
      </w:r>
    </w:p>
    <w:p>
      <w:r>
        <w:t>Da der Anspruch auf rechtliches Gehör formeller Natur ist, führt seine Verletzung grundsätzlich und ungeachtet der materiellen Begründetheit der Beschwerde zu deren Gutheissung und zur Aufhebung des angefochtenen Entscheids ( BGE 137 I 195 E. 2.2 S. 197). Die Heilung des Verfahrensmangels im bundesgerichtlichen Verfahren fällt hier ausser Betracht, weil vornehmlich Sachverhaltsfragen zur Diskussion stehen und die Kognition des Bundesgerichts insoweit gegenüber jener der Vorinstanz eingeschränkt ist ( Art. 105 BGG ; vgl. statt vieler Urteil 1B_272/2016 vom 26. September 2016 E. 2.4 mit Hinweis auf BGE 133 I 100 E. 4.9 S. 105). Bei diesem Ergebnis kann die in der Beschwerde aufgeworfene Frage, ob weitere Teilgehalte des Anspruchs auf rechtliches Gehör verletzt wurden, offengelassen werden. Die Ausstandsfrage ist im vorliegenden Verfahren vom Bundesgericht nicht zu prüfen.</w:t>
      </w:r>
    </w:p>
    <w:p>
      <w:r>
        <w:rPr>
          <w:b/>
        </w:rPr>
        <w:t>E. 5</w:t>
      </w:r>
    </w:p>
    <w:p>
      <w:r>
        <w:t>Die Beschwerde ist gutzuheissen. Der angefochtene Entscheid ist aufzuheben, und die Sache ist zur Neubeurteilung an die Vorinstanz zurückzuweisen. Bei diesem Verfahrensausgang sind keine Kosten zu erheben ( Art. 66 Abs. 1 und 4 BGG ). Hingegen hat der Kanton Bern den obsiegenden Beschwerdeführer für das bundesgerichtliche Verfahren angemessen zu entschädigen ( Art. 68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